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89712" w14:textId="77FFB8FC" w:rsidR="00E90E49" w:rsidRPr="001F3BBE" w:rsidRDefault="00E90E49" w:rsidP="00E35559">
      <w:pPr>
        <w:pStyle w:val="3GPPHeader"/>
        <w:spacing w:after="60"/>
        <w:rPr>
          <w:sz w:val="32"/>
          <w:szCs w:val="32"/>
          <w:highlight w:val="yellow"/>
          <w:lang w:val="en-US"/>
        </w:rPr>
      </w:pPr>
      <w:r w:rsidRPr="001F3BBE">
        <w:rPr>
          <w:lang w:val="en-US"/>
        </w:rPr>
        <w:t>3GPP TSG-RAN WG</w:t>
      </w:r>
      <w:r w:rsidR="007730BD" w:rsidRPr="001F3BBE">
        <w:rPr>
          <w:lang w:val="en-US"/>
        </w:rPr>
        <w:t>2</w:t>
      </w:r>
      <w:r w:rsidRPr="001F3BBE">
        <w:rPr>
          <w:lang w:val="en-US"/>
        </w:rPr>
        <w:t xml:space="preserve"> #</w:t>
      </w:r>
      <w:r w:rsidR="00AE3743" w:rsidRPr="001F3BBE">
        <w:rPr>
          <w:lang w:val="en-US"/>
        </w:rPr>
        <w:t>9</w:t>
      </w:r>
      <w:r w:rsidR="0035491B" w:rsidRPr="001F3BBE">
        <w:rPr>
          <w:lang w:val="en-US"/>
        </w:rPr>
        <w:t>9</w:t>
      </w:r>
      <w:r w:rsidR="00873DB0" w:rsidRPr="001F3BBE">
        <w:rPr>
          <w:lang w:val="en-US"/>
        </w:rPr>
        <w:t>bis</w:t>
      </w:r>
      <w:r w:rsidRPr="001F3BBE">
        <w:rPr>
          <w:lang w:val="en-US"/>
        </w:rPr>
        <w:tab/>
      </w:r>
      <w:proofErr w:type="spellStart"/>
      <w:r w:rsidRPr="001F3BBE">
        <w:rPr>
          <w:sz w:val="32"/>
          <w:szCs w:val="32"/>
          <w:lang w:val="en-US"/>
        </w:rPr>
        <w:t>Tdoc</w:t>
      </w:r>
      <w:proofErr w:type="spellEnd"/>
      <w:r w:rsidRPr="001F3BBE">
        <w:rPr>
          <w:sz w:val="32"/>
          <w:szCs w:val="32"/>
          <w:lang w:val="en-US"/>
        </w:rPr>
        <w:t xml:space="preserve"> </w:t>
      </w:r>
      <w:r w:rsidR="00091557" w:rsidRPr="001F3BBE">
        <w:rPr>
          <w:sz w:val="32"/>
          <w:szCs w:val="32"/>
          <w:lang w:val="en-US"/>
        </w:rPr>
        <w:t>R2-</w:t>
      </w:r>
      <w:r w:rsidR="007175FD" w:rsidRPr="001F3BBE">
        <w:rPr>
          <w:sz w:val="32"/>
          <w:szCs w:val="32"/>
          <w:lang w:val="en-US"/>
        </w:rPr>
        <w:t>1711175</w:t>
      </w:r>
    </w:p>
    <w:p w14:paraId="5D18802E" w14:textId="03371E0B" w:rsidR="00E90E49" w:rsidRPr="001F3BBE" w:rsidRDefault="00873DB0" w:rsidP="00311702">
      <w:pPr>
        <w:pStyle w:val="3GPPHeader"/>
        <w:rPr>
          <w:lang w:val="en-US"/>
        </w:rPr>
      </w:pPr>
      <w:r w:rsidRPr="001F3BBE">
        <w:rPr>
          <w:lang w:val="en-US"/>
        </w:rPr>
        <w:t>Prague, Czech Republic, 9</w:t>
      </w:r>
      <w:r w:rsidRPr="001F3BBE">
        <w:rPr>
          <w:vertAlign w:val="superscript"/>
          <w:lang w:val="en-US"/>
        </w:rPr>
        <w:t>th</w:t>
      </w:r>
      <w:r w:rsidRPr="001F3BBE">
        <w:rPr>
          <w:lang w:val="en-US"/>
        </w:rPr>
        <w:t xml:space="preserve"> – 13</w:t>
      </w:r>
      <w:r w:rsidRPr="001F3BBE">
        <w:rPr>
          <w:vertAlign w:val="superscript"/>
          <w:lang w:val="en-US"/>
        </w:rPr>
        <w:t>th</w:t>
      </w:r>
      <w:r w:rsidRPr="001F3BBE">
        <w:rPr>
          <w:lang w:val="en-US"/>
        </w:rPr>
        <w:t xml:space="preserve"> October 2017</w:t>
      </w:r>
    </w:p>
    <w:p w14:paraId="0FFA3B1B" w14:textId="77777777" w:rsidR="00E90E49" w:rsidRPr="001F3BBE" w:rsidRDefault="00E90E49" w:rsidP="00357380">
      <w:pPr>
        <w:pStyle w:val="3GPPHeader"/>
        <w:rPr>
          <w:lang w:val="en-US"/>
        </w:rPr>
      </w:pPr>
    </w:p>
    <w:p w14:paraId="0DBA3ED9" w14:textId="2CBF25C7" w:rsidR="00E90E49" w:rsidRPr="001F3BBE" w:rsidRDefault="00E90E49" w:rsidP="00311702">
      <w:pPr>
        <w:pStyle w:val="3GPPHeader"/>
        <w:rPr>
          <w:sz w:val="22"/>
          <w:lang w:val="en-US"/>
        </w:rPr>
      </w:pPr>
      <w:r w:rsidRPr="001F3BBE">
        <w:rPr>
          <w:sz w:val="22"/>
          <w:lang w:val="en-US"/>
        </w:rPr>
        <w:t>Agenda Item:</w:t>
      </w:r>
      <w:r w:rsidRPr="001F3BBE">
        <w:rPr>
          <w:sz w:val="22"/>
          <w:lang w:val="en-US"/>
        </w:rPr>
        <w:tab/>
      </w:r>
      <w:r w:rsidR="00824BCE" w:rsidRPr="001F3BBE">
        <w:rPr>
          <w:sz w:val="22"/>
          <w:lang w:val="en-US"/>
        </w:rPr>
        <w:t>10.3.1.4.3</w:t>
      </w:r>
    </w:p>
    <w:p w14:paraId="3D09BB9C" w14:textId="77777777" w:rsidR="00E90E49" w:rsidRPr="001F3BBE" w:rsidRDefault="003D3C45" w:rsidP="00F64C2B">
      <w:pPr>
        <w:pStyle w:val="3GPPHeader"/>
        <w:rPr>
          <w:sz w:val="22"/>
          <w:lang w:val="en-US"/>
        </w:rPr>
      </w:pPr>
      <w:r w:rsidRPr="001F3BBE">
        <w:rPr>
          <w:sz w:val="22"/>
          <w:lang w:val="en-US"/>
        </w:rPr>
        <w:t>Source:</w:t>
      </w:r>
      <w:r w:rsidR="00E90E49" w:rsidRPr="001F3BBE">
        <w:rPr>
          <w:sz w:val="22"/>
          <w:lang w:val="en-US"/>
        </w:rPr>
        <w:tab/>
      </w:r>
      <w:r w:rsidR="00F64C2B" w:rsidRPr="001F3BBE">
        <w:rPr>
          <w:sz w:val="22"/>
          <w:lang w:val="en-US"/>
        </w:rPr>
        <w:t>Ericsson</w:t>
      </w:r>
    </w:p>
    <w:p w14:paraId="396F3307" w14:textId="09058C34" w:rsidR="00E90E49" w:rsidRPr="001F3BBE" w:rsidRDefault="003D3C45" w:rsidP="00311702">
      <w:pPr>
        <w:pStyle w:val="3GPPHeader"/>
        <w:rPr>
          <w:sz w:val="22"/>
          <w:lang w:val="en-US"/>
        </w:rPr>
      </w:pPr>
      <w:r w:rsidRPr="001F3BBE">
        <w:rPr>
          <w:sz w:val="22"/>
          <w:lang w:val="en-US"/>
        </w:rPr>
        <w:t>Title:</w:t>
      </w:r>
      <w:r w:rsidR="00E90E49" w:rsidRPr="001F3BBE">
        <w:rPr>
          <w:sz w:val="22"/>
          <w:lang w:val="en-US"/>
        </w:rPr>
        <w:tab/>
      </w:r>
      <w:r w:rsidR="00B755D2" w:rsidRPr="001F3BBE">
        <w:rPr>
          <w:sz w:val="22"/>
          <w:lang w:val="en-US"/>
        </w:rPr>
        <w:t>RA-RNTI for NR</w:t>
      </w:r>
    </w:p>
    <w:p w14:paraId="7A0567D6" w14:textId="3A06DE53" w:rsidR="00E90E49" w:rsidRDefault="00E90E49" w:rsidP="00D546FF">
      <w:pPr>
        <w:pStyle w:val="3GPPHeader"/>
        <w:rPr>
          <w:sz w:val="22"/>
          <w:lang w:val="en-US"/>
        </w:rPr>
      </w:pPr>
      <w:r w:rsidRPr="001F3BBE">
        <w:rPr>
          <w:sz w:val="22"/>
          <w:lang w:val="en-US"/>
        </w:rPr>
        <w:t>Document for:</w:t>
      </w:r>
      <w:r w:rsidRPr="001F3BBE">
        <w:rPr>
          <w:sz w:val="22"/>
          <w:lang w:val="en-US"/>
        </w:rPr>
        <w:tab/>
        <w:t>Discussion, Decision</w:t>
      </w:r>
    </w:p>
    <w:p w14:paraId="348BF72F" w14:textId="77777777" w:rsidR="001F3BBE" w:rsidRPr="001F3BBE" w:rsidRDefault="001F3BBE" w:rsidP="00D546FF">
      <w:pPr>
        <w:pStyle w:val="3GPPHeader"/>
        <w:rPr>
          <w:sz w:val="22"/>
          <w:lang w:val="en-US"/>
        </w:rPr>
      </w:pPr>
    </w:p>
    <w:p w14:paraId="04B9CC0B" w14:textId="47CF03F8" w:rsidR="00C24345" w:rsidRDefault="00E90E49" w:rsidP="00A2052C">
      <w:pPr>
        <w:pStyle w:val="Heading1"/>
      </w:pPr>
      <w:r w:rsidRPr="00CE0424">
        <w:t>Introduction</w:t>
      </w:r>
    </w:p>
    <w:p w14:paraId="6BD822CC" w14:textId="658EA377" w:rsidR="00A2052C" w:rsidRPr="001F3BBE" w:rsidRDefault="00B755D2" w:rsidP="00A2052C">
      <w:pPr>
        <w:rPr>
          <w:lang w:val="en-US"/>
        </w:rPr>
      </w:pPr>
      <w:r w:rsidRPr="001F3BBE">
        <w:rPr>
          <w:lang w:val="en-US"/>
        </w:rPr>
        <w:t>In RAN2#99 The following agreement was made:</w:t>
      </w:r>
    </w:p>
    <w:p w14:paraId="2C21F907" w14:textId="33120A39" w:rsidR="00B755D2" w:rsidRPr="00777312" w:rsidRDefault="00B755D2" w:rsidP="00A2052C">
      <w:pPr>
        <w:rPr>
          <w:lang w:val="en-US"/>
        </w:rPr>
      </w:pPr>
      <w:r w:rsidRPr="001F3BBE">
        <w:rPr>
          <w:lang w:val="en-US"/>
        </w:rPr>
        <w:t>-</w:t>
      </w:r>
      <w:r w:rsidRPr="00777312">
        <w:rPr>
          <w:lang w:val="en-US"/>
        </w:rPr>
        <w:tab/>
      </w:r>
      <w:r w:rsidRPr="00777312">
        <w:rPr>
          <w:i/>
          <w:lang w:val="en-US"/>
        </w:rPr>
        <w:t>Details of RA-RNTI calculations are FFS</w:t>
      </w:r>
    </w:p>
    <w:p w14:paraId="29E4151A" w14:textId="47F364EE" w:rsidR="003876F9" w:rsidRPr="00777312" w:rsidRDefault="003876F9" w:rsidP="003876F9">
      <w:pPr>
        <w:rPr>
          <w:rFonts w:eastAsia="MS Mincho"/>
          <w:szCs w:val="20"/>
          <w:lang w:val="en-US" w:eastAsia="ja-JP"/>
        </w:rPr>
      </w:pPr>
      <w:r w:rsidRPr="00777312">
        <w:rPr>
          <w:rFonts w:eastAsia="MS Mincho"/>
          <w:szCs w:val="20"/>
          <w:lang w:val="en-US" w:eastAsia="ja-JP"/>
        </w:rPr>
        <w:t>In RAN1, several relevant agreements which may impact RA-RNTI have been made. In RAN1#88,</w:t>
      </w:r>
    </w:p>
    <w:p w14:paraId="59417989" w14:textId="2E0A3E7E" w:rsidR="003876F9" w:rsidRPr="00777312" w:rsidRDefault="003876F9" w:rsidP="00777312">
      <w:pPr>
        <w:ind w:left="567"/>
        <w:rPr>
          <w:i/>
          <w:lang w:val="en-US"/>
        </w:rPr>
      </w:pPr>
      <w:r w:rsidRPr="00777312">
        <w:rPr>
          <w:rFonts w:eastAsia="MS Mincho"/>
          <w:i/>
          <w:szCs w:val="20"/>
          <w:lang w:val="en-US" w:eastAsia="ja-JP"/>
        </w:rPr>
        <w:t xml:space="preserve">At least for the case without </w:t>
      </w:r>
      <w:proofErr w:type="spellStart"/>
      <w:r w:rsidRPr="00777312">
        <w:rPr>
          <w:rFonts w:eastAsia="MS Mincho"/>
          <w:i/>
          <w:szCs w:val="20"/>
          <w:lang w:val="en-US" w:eastAsia="ja-JP"/>
        </w:rPr>
        <w:t>gNB</w:t>
      </w:r>
      <w:proofErr w:type="spellEnd"/>
      <w:r w:rsidRPr="00777312">
        <w:rPr>
          <w:rFonts w:eastAsia="MS Mincho"/>
          <w:i/>
          <w:szCs w:val="20"/>
          <w:lang w:val="en-US" w:eastAsia="ja-JP"/>
        </w:rPr>
        <w:t xml:space="preserve"> </w:t>
      </w:r>
      <w:proofErr w:type="spellStart"/>
      <w:r w:rsidRPr="00777312">
        <w:rPr>
          <w:rFonts w:eastAsia="MS Mincho"/>
          <w:i/>
          <w:szCs w:val="20"/>
          <w:lang w:val="en-US" w:eastAsia="ja-JP"/>
        </w:rPr>
        <w:t>Tx</w:t>
      </w:r>
      <w:proofErr w:type="spellEnd"/>
      <w:r w:rsidRPr="00777312">
        <w:rPr>
          <w:rFonts w:eastAsia="MS Mincho"/>
          <w:i/>
          <w:szCs w:val="20"/>
          <w:lang w:val="en-US" w:eastAsia="ja-JP"/>
        </w:rPr>
        <w:t xml:space="preserve">/Rx beam correspondence, </w:t>
      </w:r>
      <w:proofErr w:type="spellStart"/>
      <w:r w:rsidRPr="00777312">
        <w:rPr>
          <w:rFonts w:eastAsia="MS Mincho"/>
          <w:i/>
          <w:szCs w:val="20"/>
          <w:lang w:val="en-US" w:eastAsia="ja-JP"/>
        </w:rPr>
        <w:t>gNB</w:t>
      </w:r>
      <w:proofErr w:type="spellEnd"/>
      <w:r w:rsidRPr="00777312">
        <w:rPr>
          <w:rFonts w:eastAsia="MS Mincho"/>
          <w:i/>
          <w:szCs w:val="20"/>
          <w:lang w:val="en-US" w:eastAsia="ja-JP"/>
        </w:rPr>
        <w:t xml:space="preserve"> can configure an association between DL signal/channel, and a subset of RACH resources and/or a subset of preamble indices, for determining Msg2 DL </w:t>
      </w:r>
      <w:proofErr w:type="spellStart"/>
      <w:r w:rsidRPr="00777312">
        <w:rPr>
          <w:rFonts w:eastAsia="MS Mincho"/>
          <w:i/>
          <w:szCs w:val="20"/>
          <w:lang w:val="en-US" w:eastAsia="ja-JP"/>
        </w:rPr>
        <w:t>Tx</w:t>
      </w:r>
      <w:proofErr w:type="spellEnd"/>
      <w:r w:rsidRPr="00777312">
        <w:rPr>
          <w:rFonts w:eastAsia="MS Mincho"/>
          <w:i/>
          <w:szCs w:val="20"/>
          <w:lang w:val="en-US" w:eastAsia="ja-JP"/>
        </w:rPr>
        <w:t xml:space="preserve"> beam.</w:t>
      </w:r>
    </w:p>
    <w:p w14:paraId="04CC2283" w14:textId="4801164F" w:rsidR="00B755D2" w:rsidRPr="00777312" w:rsidRDefault="00D1121A" w:rsidP="00A2052C">
      <w:pPr>
        <w:rPr>
          <w:lang w:val="en-US"/>
        </w:rPr>
      </w:pPr>
      <w:r w:rsidRPr="00777312">
        <w:rPr>
          <w:lang w:val="en-US"/>
        </w:rPr>
        <w:t>I</w:t>
      </w:r>
      <w:r w:rsidR="00B755D2" w:rsidRPr="00777312">
        <w:rPr>
          <w:lang w:val="en-US"/>
        </w:rPr>
        <w:t>n RAN1#88bis, the following agreements were made</w:t>
      </w:r>
    </w:p>
    <w:p w14:paraId="5255E9EC" w14:textId="77777777" w:rsidR="00B755D2" w:rsidRPr="00777312" w:rsidRDefault="00B755D2" w:rsidP="00777312">
      <w:pPr>
        <w:spacing w:after="0"/>
        <w:ind w:left="567"/>
        <w:rPr>
          <w:rFonts w:eastAsia="MS Mincho"/>
          <w:i/>
          <w:lang w:val="en-US" w:eastAsia="ja-JP"/>
        </w:rPr>
      </w:pPr>
      <w:r w:rsidRPr="00777312">
        <w:rPr>
          <w:rFonts w:eastAsia="MS Mincho"/>
          <w:i/>
          <w:lang w:val="en-US" w:eastAsia="ja-JP"/>
        </w:rPr>
        <w:t>The considered maximum number of SS-blocks, L, within SS burst set for different frequency ranges are</w:t>
      </w:r>
    </w:p>
    <w:p w14:paraId="44FBE15E" w14:textId="77777777" w:rsidR="00B755D2" w:rsidRPr="00777312" w:rsidRDefault="00B755D2" w:rsidP="00B755D2">
      <w:pPr>
        <w:numPr>
          <w:ilvl w:val="1"/>
          <w:numId w:val="16"/>
        </w:numPr>
        <w:spacing w:after="0"/>
        <w:rPr>
          <w:rFonts w:eastAsia="MS Mincho"/>
          <w:i/>
          <w:lang w:val="en-US" w:eastAsia="ja-JP"/>
        </w:rPr>
      </w:pPr>
      <w:r w:rsidRPr="00777312">
        <w:rPr>
          <w:rFonts w:eastAsia="MS Mincho"/>
          <w:i/>
          <w:lang w:val="en-US" w:eastAsia="ja-JP"/>
        </w:rPr>
        <w:t>For frequency range up to 3 GHz, the maximum number of SS-blocks, L, within SS burst set is [1, 2, 4]</w:t>
      </w:r>
    </w:p>
    <w:p w14:paraId="0E01BCCD" w14:textId="77777777" w:rsidR="00B755D2" w:rsidRPr="00777312" w:rsidRDefault="00B755D2" w:rsidP="00B755D2">
      <w:pPr>
        <w:numPr>
          <w:ilvl w:val="1"/>
          <w:numId w:val="16"/>
        </w:numPr>
        <w:spacing w:after="0"/>
        <w:rPr>
          <w:rFonts w:eastAsia="MS Mincho"/>
          <w:i/>
          <w:lang w:val="en-US" w:eastAsia="ja-JP"/>
        </w:rPr>
      </w:pPr>
      <w:r w:rsidRPr="00777312">
        <w:rPr>
          <w:rFonts w:eastAsia="MS Mincho"/>
          <w:i/>
          <w:lang w:val="en-US" w:eastAsia="ja-JP"/>
        </w:rPr>
        <w:t>For frequency range from 3GHz to 6 GHz, the maximum number of SS-blocks, L, within SS burst set is [4, 8]</w:t>
      </w:r>
    </w:p>
    <w:p w14:paraId="73B4BC4B" w14:textId="77777777" w:rsidR="00B755D2" w:rsidRPr="00777312" w:rsidRDefault="00B755D2" w:rsidP="00B755D2">
      <w:pPr>
        <w:numPr>
          <w:ilvl w:val="1"/>
          <w:numId w:val="16"/>
        </w:numPr>
        <w:spacing w:after="0"/>
        <w:rPr>
          <w:rFonts w:eastAsia="MS Mincho"/>
          <w:i/>
          <w:lang w:val="en-US" w:eastAsia="ja-JP"/>
        </w:rPr>
      </w:pPr>
      <w:r w:rsidRPr="00777312">
        <w:rPr>
          <w:rFonts w:eastAsia="MS Mincho"/>
          <w:i/>
          <w:lang w:val="en-US" w:eastAsia="ja-JP"/>
        </w:rPr>
        <w:t>For frequency range from 6 GHz to 52.6 GHz, the maximum number of SS-blocks, L, within SS burst set is [64]</w:t>
      </w:r>
    </w:p>
    <w:p w14:paraId="31438474" w14:textId="00EE90FD" w:rsidR="00B755D2" w:rsidRPr="00777312" w:rsidRDefault="00B755D2" w:rsidP="00A2052C">
      <w:pPr>
        <w:rPr>
          <w:lang w:val="en-US"/>
        </w:rPr>
      </w:pPr>
      <w:r w:rsidRPr="00777312">
        <w:rPr>
          <w:lang w:val="en-US"/>
        </w:rPr>
        <w:t xml:space="preserve">This contribution discusses how to </w:t>
      </w:r>
      <w:r w:rsidR="00254E00" w:rsidRPr="00777312">
        <w:rPr>
          <w:lang w:val="en-US"/>
        </w:rPr>
        <w:t xml:space="preserve">generate </w:t>
      </w:r>
      <w:r w:rsidRPr="00777312">
        <w:rPr>
          <w:lang w:val="en-US"/>
        </w:rPr>
        <w:t>the RA-RNTI</w:t>
      </w:r>
      <w:r w:rsidR="00D1121A" w:rsidRPr="00777312">
        <w:rPr>
          <w:lang w:val="en-US"/>
        </w:rPr>
        <w:t xml:space="preserve"> to enable a sufficient number of preambles</w:t>
      </w:r>
      <w:r w:rsidR="00E10D1D" w:rsidRPr="00777312">
        <w:rPr>
          <w:lang w:val="en-US"/>
        </w:rPr>
        <w:t xml:space="preserve"> and to enable reuse of the RAPID 6</w:t>
      </w:r>
      <w:r w:rsidR="00254E00" w:rsidRPr="00777312">
        <w:rPr>
          <w:lang w:val="en-US"/>
        </w:rPr>
        <w:t>-</w:t>
      </w:r>
      <w:r w:rsidR="00E10D1D" w:rsidRPr="00777312">
        <w:rPr>
          <w:lang w:val="en-US"/>
        </w:rPr>
        <w:t>bit format in the RAR sub</w:t>
      </w:r>
      <w:r w:rsidR="006F54EF" w:rsidRPr="00777312">
        <w:rPr>
          <w:lang w:val="en-US"/>
        </w:rPr>
        <w:t xml:space="preserve"> </w:t>
      </w:r>
      <w:r w:rsidR="00E10D1D" w:rsidRPr="00777312">
        <w:rPr>
          <w:lang w:val="en-US"/>
        </w:rPr>
        <w:t>header</w:t>
      </w:r>
      <w:r w:rsidRPr="00777312">
        <w:rPr>
          <w:lang w:val="en-US"/>
        </w:rPr>
        <w:t>.</w:t>
      </w:r>
    </w:p>
    <w:p w14:paraId="1086C867" w14:textId="77777777" w:rsidR="004000E8" w:rsidRPr="00CE0424" w:rsidRDefault="004000E8" w:rsidP="00CE0424">
      <w:pPr>
        <w:pStyle w:val="Heading1"/>
      </w:pPr>
      <w:bookmarkStart w:id="0" w:name="_Ref178064866"/>
      <w:r w:rsidRPr="00CE0424">
        <w:t>Discussion</w:t>
      </w:r>
      <w:bookmarkEnd w:id="0"/>
    </w:p>
    <w:p w14:paraId="5C4A89B0" w14:textId="52C3D7C8" w:rsidR="00827F28" w:rsidRDefault="00E10D1D" w:rsidP="001F3BBE">
      <w:pPr>
        <w:pStyle w:val="BodyText"/>
        <w:rPr>
          <w:color w:val="000000" w:themeColor="text1"/>
        </w:rPr>
      </w:pPr>
      <w:r>
        <w:rPr>
          <w:lang w:val="en-US"/>
        </w:rPr>
        <w:t xml:space="preserve">As agreed in </w:t>
      </w:r>
      <w:r w:rsidR="003876F9">
        <w:rPr>
          <w:lang w:val="en-US"/>
        </w:rPr>
        <w:t>RAN1#88</w:t>
      </w:r>
      <w:r>
        <w:rPr>
          <w:lang w:val="en-US"/>
        </w:rPr>
        <w:t>, t</w:t>
      </w:r>
      <w:r w:rsidR="00827F28">
        <w:rPr>
          <w:lang w:val="en-US"/>
        </w:rPr>
        <w:t xml:space="preserve">he UE </w:t>
      </w:r>
      <w:r w:rsidR="003876F9">
        <w:rPr>
          <w:lang w:val="en-US"/>
        </w:rPr>
        <w:t xml:space="preserve">is able </w:t>
      </w:r>
      <w:r w:rsidR="00827F28">
        <w:rPr>
          <w:lang w:val="en-US"/>
        </w:rPr>
        <w:t xml:space="preserve">to indicate SS block index of the best SS block (i.e. indicating the best DL beam from the </w:t>
      </w:r>
      <w:proofErr w:type="spellStart"/>
      <w:r w:rsidR="00827F28">
        <w:rPr>
          <w:lang w:val="en-US"/>
        </w:rPr>
        <w:t>gNB</w:t>
      </w:r>
      <w:proofErr w:type="spellEnd"/>
      <w:r w:rsidR="00827F28">
        <w:rPr>
          <w:lang w:val="en-US"/>
        </w:rPr>
        <w:t>)</w:t>
      </w:r>
      <w:r w:rsidR="00B755D2" w:rsidRPr="00827F28">
        <w:rPr>
          <w:lang w:val="en-US"/>
        </w:rPr>
        <w:t xml:space="preserve"> with</w:t>
      </w:r>
      <w:r w:rsidR="00827F28">
        <w:rPr>
          <w:lang w:val="en-US"/>
        </w:rPr>
        <w:t xml:space="preserve"> the</w:t>
      </w:r>
      <w:r w:rsidR="00B755D2" w:rsidRPr="00827F28">
        <w:rPr>
          <w:lang w:val="en-US"/>
        </w:rPr>
        <w:t xml:space="preserve"> preamble. </w:t>
      </w:r>
      <w:r w:rsidR="00827F28">
        <w:rPr>
          <w:lang w:val="en-US"/>
        </w:rPr>
        <w:t>Since there may be u</w:t>
      </w:r>
      <w:r w:rsidR="00B755D2" w:rsidRPr="00827F28">
        <w:rPr>
          <w:lang w:val="en-US"/>
        </w:rPr>
        <w:t>p to 64 SS</w:t>
      </w:r>
      <w:r w:rsidR="00827F28">
        <w:rPr>
          <w:lang w:val="en-US"/>
        </w:rPr>
        <w:t xml:space="preserve"> blocks</w:t>
      </w:r>
      <w:r w:rsidR="00B755D2" w:rsidRPr="00827F28">
        <w:rPr>
          <w:lang w:val="en-US"/>
        </w:rPr>
        <w:t xml:space="preserve"> in</w:t>
      </w:r>
      <w:r w:rsidR="006F54EF">
        <w:rPr>
          <w:lang w:val="en-US"/>
        </w:rPr>
        <w:t xml:space="preserve"> a</w:t>
      </w:r>
      <w:r w:rsidR="00B755D2" w:rsidRPr="00827F28">
        <w:rPr>
          <w:lang w:val="en-US"/>
        </w:rPr>
        <w:t xml:space="preserve"> high frequency scenario</w:t>
      </w:r>
      <w:r w:rsidR="00827F28">
        <w:rPr>
          <w:lang w:val="en-US"/>
        </w:rPr>
        <w:t xml:space="preserve">, it is clear that </w:t>
      </w:r>
      <w:r w:rsidR="00F029F2">
        <w:rPr>
          <w:lang w:val="en-US"/>
        </w:rPr>
        <w:t>allocating only</w:t>
      </w:r>
      <w:r w:rsidR="00827F28">
        <w:rPr>
          <w:lang w:val="en-US"/>
        </w:rPr>
        <w:t xml:space="preserve"> 64 different preambles</w:t>
      </w:r>
      <w:r w:rsidR="00F20539">
        <w:rPr>
          <w:lang w:val="en-US"/>
        </w:rPr>
        <w:t xml:space="preserve"> per cell</w:t>
      </w:r>
      <w:r w:rsidR="00827F28">
        <w:rPr>
          <w:lang w:val="en-US"/>
        </w:rPr>
        <w:t xml:space="preserve"> as in LTE will not be sufficient since the preamble will also be used to indicate other things such </w:t>
      </w:r>
      <w:r>
        <w:rPr>
          <w:lang w:val="en-US"/>
        </w:rPr>
        <w:t>as</w:t>
      </w:r>
    </w:p>
    <w:p w14:paraId="6DF35536" w14:textId="105EA2D2" w:rsidR="00827F28" w:rsidRPr="001F3BBE" w:rsidRDefault="001F3BBE" w:rsidP="001F3BBE">
      <w:pPr>
        <w:pStyle w:val="B1"/>
      </w:pPr>
      <w:r w:rsidRPr="001F3BBE">
        <w:t>-</w:t>
      </w:r>
      <w:r w:rsidRPr="001F3BBE">
        <w:tab/>
      </w:r>
      <w:r w:rsidR="00827F28" w:rsidRPr="001F3BBE">
        <w:t xml:space="preserve">Contention based with request for MSG3 size less than a defined threshold </w:t>
      </w:r>
    </w:p>
    <w:p w14:paraId="2B18D9F3" w14:textId="2D624495" w:rsidR="00827F28" w:rsidRPr="001F3BBE" w:rsidRDefault="001F3BBE" w:rsidP="001F3BBE">
      <w:pPr>
        <w:pStyle w:val="B1"/>
      </w:pPr>
      <w:r w:rsidRPr="001F3BBE">
        <w:t>-</w:t>
      </w:r>
      <w:r w:rsidRPr="001F3BBE">
        <w:tab/>
      </w:r>
      <w:r w:rsidR="00827F28" w:rsidRPr="001F3BBE">
        <w:t xml:space="preserve">Contention based with request for MSG3 size larger than a defined threshold </w:t>
      </w:r>
    </w:p>
    <w:p w14:paraId="736E1751" w14:textId="3B19777A" w:rsidR="00827F28" w:rsidRPr="001F3BBE" w:rsidRDefault="001F3BBE" w:rsidP="001F3BBE">
      <w:pPr>
        <w:pStyle w:val="B1"/>
      </w:pPr>
      <w:r w:rsidRPr="001F3BBE">
        <w:t>-</w:t>
      </w:r>
      <w:r w:rsidRPr="001F3BBE">
        <w:tab/>
      </w:r>
      <w:r w:rsidR="00827F28" w:rsidRPr="001F3BBE">
        <w:t>Contention free for beam recovery request</w:t>
      </w:r>
    </w:p>
    <w:p w14:paraId="618168AC" w14:textId="48929470" w:rsidR="00827F28" w:rsidRPr="001F3BBE" w:rsidRDefault="001F3BBE" w:rsidP="001F3BBE">
      <w:pPr>
        <w:pStyle w:val="B1"/>
      </w:pPr>
      <w:r w:rsidRPr="001F3BBE">
        <w:t>-</w:t>
      </w:r>
      <w:r w:rsidRPr="001F3BBE">
        <w:tab/>
      </w:r>
      <w:r w:rsidR="00827F28" w:rsidRPr="001F3BBE">
        <w:t xml:space="preserve">Contention free for SI request </w:t>
      </w:r>
    </w:p>
    <w:p w14:paraId="3C997E34" w14:textId="61207614" w:rsidR="00827F28" w:rsidRPr="001F3BBE" w:rsidRDefault="001F3BBE" w:rsidP="001F3BBE">
      <w:pPr>
        <w:pStyle w:val="B1"/>
      </w:pPr>
      <w:r w:rsidRPr="001F3BBE">
        <w:t>-</w:t>
      </w:r>
      <w:r w:rsidRPr="001F3BBE">
        <w:tab/>
      </w:r>
      <w:r w:rsidR="00827F28" w:rsidRPr="001F3BBE">
        <w:t>Contention free for handover</w:t>
      </w:r>
    </w:p>
    <w:p w14:paraId="678B640F" w14:textId="2CA233BB" w:rsidR="00827F28" w:rsidRPr="001F3BBE" w:rsidRDefault="001F3BBE" w:rsidP="001F3BBE">
      <w:pPr>
        <w:pStyle w:val="B1"/>
      </w:pPr>
      <w:r>
        <w:lastRenderedPageBreak/>
        <w:t>-</w:t>
      </w:r>
      <w:r>
        <w:tab/>
      </w:r>
      <w:r w:rsidR="00827F28" w:rsidRPr="001F3BBE">
        <w:t>Contention free for uplink based positioning</w:t>
      </w:r>
    </w:p>
    <w:p w14:paraId="1DC2D9A8" w14:textId="3CA46938" w:rsidR="0027144F" w:rsidRPr="00777312" w:rsidRDefault="00F029F2" w:rsidP="001F3BBE">
      <w:pPr>
        <w:pStyle w:val="BodyText"/>
        <w:rPr>
          <w:lang w:val="en-US"/>
        </w:rPr>
      </w:pPr>
      <w:r w:rsidRPr="00777312">
        <w:rPr>
          <w:lang w:val="en-US"/>
        </w:rPr>
        <w:t xml:space="preserve">The SS block </w:t>
      </w:r>
      <w:r w:rsidR="00E10D1D" w:rsidRPr="00777312">
        <w:rPr>
          <w:lang w:val="en-US"/>
        </w:rPr>
        <w:t xml:space="preserve">indication </w:t>
      </w:r>
      <w:r w:rsidRPr="00777312">
        <w:rPr>
          <w:lang w:val="en-US"/>
        </w:rPr>
        <w:t>w</w:t>
      </w:r>
      <w:r w:rsidR="00E10D1D" w:rsidRPr="00777312">
        <w:rPr>
          <w:lang w:val="en-US"/>
        </w:rPr>
        <w:t>ould</w:t>
      </w:r>
      <w:r w:rsidRPr="00777312">
        <w:rPr>
          <w:lang w:val="en-US"/>
        </w:rPr>
        <w:t xml:space="preserve"> in high frequency scenarios consume the entire preamble space in case only 64 preambles are used. </w:t>
      </w:r>
    </w:p>
    <w:p w14:paraId="27C5EDBD" w14:textId="3E39FAC2" w:rsidR="00827F28" w:rsidRPr="00777312" w:rsidRDefault="00F029F2" w:rsidP="00827F28">
      <w:pPr>
        <w:pStyle w:val="Observation"/>
        <w:rPr>
          <w:lang w:val="en-US"/>
        </w:rPr>
      </w:pPr>
      <w:bookmarkStart w:id="1" w:name="_Toc492558068"/>
      <w:bookmarkStart w:id="2" w:name="_Toc492639309"/>
      <w:bookmarkStart w:id="3" w:name="_Toc493857748"/>
      <w:bookmarkStart w:id="4" w:name="_Toc494099541"/>
      <w:bookmarkStart w:id="5" w:name="_Toc494273989"/>
      <w:bookmarkStart w:id="6" w:name="_Toc494360733"/>
      <w:bookmarkStart w:id="7" w:name="_Toc494411222"/>
      <w:r w:rsidRPr="00777312">
        <w:rPr>
          <w:lang w:val="en-US"/>
        </w:rPr>
        <w:t xml:space="preserve">Allocating </w:t>
      </w:r>
      <w:r w:rsidR="00827F28" w:rsidRPr="00777312">
        <w:rPr>
          <w:lang w:val="en-US"/>
        </w:rPr>
        <w:t>only 64 preamble</w:t>
      </w:r>
      <w:r w:rsidR="00502314" w:rsidRPr="00777312">
        <w:rPr>
          <w:lang w:val="en-US"/>
        </w:rPr>
        <w:t>s in NR will not be sufficient to indicate both</w:t>
      </w:r>
      <w:r w:rsidRPr="00777312">
        <w:rPr>
          <w:lang w:val="en-US"/>
        </w:rPr>
        <w:t xml:space="preserve"> best</w:t>
      </w:r>
      <w:r w:rsidR="00502314" w:rsidRPr="00777312">
        <w:rPr>
          <w:lang w:val="en-US"/>
        </w:rPr>
        <w:t xml:space="preserve"> SS block index and other agreed and/or discussed features.</w:t>
      </w:r>
      <w:bookmarkEnd w:id="1"/>
      <w:bookmarkEnd w:id="2"/>
      <w:bookmarkEnd w:id="3"/>
      <w:bookmarkEnd w:id="4"/>
      <w:bookmarkEnd w:id="5"/>
      <w:bookmarkEnd w:id="6"/>
      <w:bookmarkEnd w:id="7"/>
    </w:p>
    <w:p w14:paraId="7DE4343D" w14:textId="77777777" w:rsidR="001F3BBE" w:rsidRDefault="00F029F2" w:rsidP="00827F28">
      <w:pPr>
        <w:pStyle w:val="BodyText"/>
        <w:rPr>
          <w:rFonts w:cs="Arial"/>
          <w:lang w:val="en-US"/>
        </w:rPr>
      </w:pPr>
      <w:r w:rsidRPr="00777312">
        <w:rPr>
          <w:lang w:val="en-US"/>
        </w:rPr>
        <w:t>Fortunately</w:t>
      </w:r>
      <w:r w:rsidR="007F66AB" w:rsidRPr="00777312">
        <w:rPr>
          <w:lang w:val="en-US"/>
        </w:rPr>
        <w:t>,</w:t>
      </w:r>
      <w:r w:rsidRPr="00777312">
        <w:rPr>
          <w:lang w:val="en-US"/>
        </w:rPr>
        <w:t xml:space="preserve"> it is </w:t>
      </w:r>
      <w:r w:rsidR="00E525C9" w:rsidRPr="00777312">
        <w:rPr>
          <w:lang w:val="en-US"/>
        </w:rPr>
        <w:t>possible</w:t>
      </w:r>
      <w:r w:rsidRPr="00777312">
        <w:rPr>
          <w:lang w:val="en-US"/>
        </w:rPr>
        <w:t xml:space="preserve"> to define and configure a large</w:t>
      </w:r>
      <w:r w:rsidR="00E10D1D" w:rsidRPr="00777312">
        <w:rPr>
          <w:lang w:val="en-US"/>
        </w:rPr>
        <w:t>r</w:t>
      </w:r>
      <w:r w:rsidRPr="00777312">
        <w:rPr>
          <w:lang w:val="en-US"/>
        </w:rPr>
        <w:t xml:space="preserve"> number of preambles.</w:t>
      </w:r>
      <w:r w:rsidR="00C92741" w:rsidRPr="00777312">
        <w:rPr>
          <w:lang w:val="en-US"/>
        </w:rPr>
        <w:t xml:space="preserve"> The key is to define the preamble not only using cyclic shifts and root index as in LTE, but also allow time and frequency in the preamble definition.</w:t>
      </w:r>
      <w:r w:rsidRPr="00777312">
        <w:rPr>
          <w:lang w:val="en-US"/>
        </w:rPr>
        <w:t xml:space="preserve"> In</w:t>
      </w:r>
      <w:r w:rsidR="00042818" w:rsidRPr="00777312">
        <w:rPr>
          <w:lang w:val="en-US"/>
        </w:rPr>
        <w:t xml:space="preserve"> the RAN1 contribution</w:t>
      </w:r>
      <w:r w:rsidRPr="00777312">
        <w:rPr>
          <w:lang w:val="en-US"/>
        </w:rPr>
        <w:t xml:space="preserve"> </w:t>
      </w:r>
      <w:r>
        <w:fldChar w:fldCharType="begin"/>
      </w:r>
      <w:r w:rsidRPr="00777312">
        <w:rPr>
          <w:lang w:val="en-US"/>
        </w:rPr>
        <w:instrText xml:space="preserve"> REF _Ref492558462 \n \h </w:instrText>
      </w:r>
      <w:r>
        <w:fldChar w:fldCharType="separate"/>
      </w:r>
      <w:r w:rsidR="00C92741" w:rsidRPr="00777312">
        <w:rPr>
          <w:lang w:val="en-US"/>
        </w:rPr>
        <w:t>[1]</w:t>
      </w:r>
      <w:r>
        <w:fldChar w:fldCharType="end"/>
      </w:r>
      <w:r w:rsidRPr="00777312">
        <w:rPr>
          <w:lang w:val="en-US"/>
        </w:rPr>
        <w:t>, several examples are given. One example is a</w:t>
      </w:r>
      <w:r w:rsidRPr="00777312">
        <w:rPr>
          <w:rFonts w:cs="Arial"/>
          <w:lang w:val="en-US"/>
        </w:rPr>
        <w:t xml:space="preserve"> set of NR-RACH preamble sequences in a cel</w:t>
      </w:r>
      <w:r w:rsidR="001F3BBE">
        <w:rPr>
          <w:rFonts w:cs="Arial"/>
          <w:lang w:val="en-US"/>
        </w:rPr>
        <w:t>l is determined in the order of</w:t>
      </w:r>
    </w:p>
    <w:p w14:paraId="4C060B08" w14:textId="77777777" w:rsidR="001F3BBE" w:rsidRDefault="00F029F2" w:rsidP="001F3BBE">
      <w:pPr>
        <w:pStyle w:val="B1"/>
        <w:rPr>
          <w:rStyle w:val="B1Char"/>
        </w:rPr>
      </w:pPr>
      <w:r w:rsidRPr="001F3BBE">
        <w:rPr>
          <w:rStyle w:val="B1Char"/>
        </w:rPr>
        <w:t>1.</w:t>
      </w:r>
      <w:r w:rsidRPr="001F3BBE">
        <w:rPr>
          <w:rStyle w:val="B1Char"/>
        </w:rPr>
        <w:tab/>
        <w:t xml:space="preserve">the available cyclic shifts of a root </w:t>
      </w:r>
      <w:proofErr w:type="spellStart"/>
      <w:r w:rsidRPr="001F3BBE">
        <w:rPr>
          <w:rStyle w:val="B1Char"/>
        </w:rPr>
        <w:t>Zadoff</w:t>
      </w:r>
      <w:proofErr w:type="spellEnd"/>
      <w:r w:rsidRPr="001F3BBE">
        <w:rPr>
          <w:rStyle w:val="B1Char"/>
        </w:rPr>
        <w:t>-Chu sequence</w:t>
      </w:r>
    </w:p>
    <w:p w14:paraId="0B3C4916" w14:textId="77777777" w:rsidR="001F3BBE" w:rsidRDefault="00F029F2" w:rsidP="001F3BBE">
      <w:pPr>
        <w:pStyle w:val="B1"/>
        <w:rPr>
          <w:rStyle w:val="B1Char"/>
        </w:rPr>
      </w:pPr>
      <w:r w:rsidRPr="001F3BBE">
        <w:rPr>
          <w:rStyle w:val="B1Char"/>
        </w:rPr>
        <w:t>2.</w:t>
      </w:r>
      <w:r w:rsidRPr="001F3BBE">
        <w:rPr>
          <w:rStyle w:val="B1Char"/>
        </w:rPr>
        <w:tab/>
        <w:t>increasin</w:t>
      </w:r>
      <w:r w:rsidR="001F3BBE">
        <w:rPr>
          <w:rStyle w:val="B1Char"/>
        </w:rPr>
        <w:t>g time allocation within a slot</w:t>
      </w:r>
    </w:p>
    <w:p w14:paraId="3D201C89" w14:textId="77777777" w:rsidR="001F3BBE" w:rsidRDefault="00F029F2" w:rsidP="001F3BBE">
      <w:pPr>
        <w:pStyle w:val="B1"/>
        <w:rPr>
          <w:rStyle w:val="B1Char"/>
        </w:rPr>
      </w:pPr>
      <w:r w:rsidRPr="001F3BBE">
        <w:rPr>
          <w:rStyle w:val="B1Char"/>
        </w:rPr>
        <w:t>3.</w:t>
      </w:r>
      <w:r w:rsidRPr="001F3BBE">
        <w:rPr>
          <w:rStyle w:val="B1Char"/>
        </w:rPr>
        <w:tab/>
        <w:t>increas</w:t>
      </w:r>
      <w:r w:rsidR="001F3BBE">
        <w:rPr>
          <w:rStyle w:val="B1Char"/>
        </w:rPr>
        <w:t>ing root index</w:t>
      </w:r>
    </w:p>
    <w:p w14:paraId="26299878" w14:textId="77777777" w:rsidR="001F3BBE" w:rsidRDefault="00F029F2" w:rsidP="001F3BBE">
      <w:pPr>
        <w:pStyle w:val="B1"/>
        <w:rPr>
          <w:rStyle w:val="B1Char"/>
        </w:rPr>
      </w:pPr>
      <w:r w:rsidRPr="001F3BBE">
        <w:rPr>
          <w:rStyle w:val="B1Char"/>
        </w:rPr>
        <w:t>4.</w:t>
      </w:r>
      <w:r w:rsidRPr="001F3BBE">
        <w:rPr>
          <w:rStyle w:val="B1Char"/>
        </w:rPr>
        <w:tab/>
      </w:r>
      <w:r w:rsidR="001F3BBE">
        <w:rPr>
          <w:rStyle w:val="B1Char"/>
        </w:rPr>
        <w:t>increasing frequency allocation</w:t>
      </w:r>
    </w:p>
    <w:p w14:paraId="423296F3" w14:textId="70C3E4B3" w:rsidR="00827F28" w:rsidRPr="00777312" w:rsidRDefault="00F029F2" w:rsidP="001F3BBE">
      <w:pPr>
        <w:pStyle w:val="B1"/>
      </w:pPr>
      <w:r w:rsidRPr="001F3BBE">
        <w:rPr>
          <w:rStyle w:val="B1Char"/>
        </w:rPr>
        <w:t>5.</w:t>
      </w:r>
      <w:r w:rsidRPr="001F3BBE">
        <w:rPr>
          <w:rStyle w:val="B1Char"/>
        </w:rPr>
        <w:tab/>
        <w:t>increasing slot index</w:t>
      </w:r>
    </w:p>
    <w:p w14:paraId="144B0F89" w14:textId="05376623" w:rsidR="002E4E56" w:rsidRPr="00777312" w:rsidRDefault="00DC133C" w:rsidP="002E4E56">
      <w:pPr>
        <w:pStyle w:val="BodyText"/>
        <w:rPr>
          <w:lang w:val="en-US"/>
        </w:rPr>
      </w:pPr>
      <w:r w:rsidRPr="00777312">
        <w:rPr>
          <w:lang w:val="en-US"/>
        </w:rPr>
        <w:t>With</w:t>
      </w:r>
      <w:r w:rsidR="00831A42" w:rsidRPr="00777312">
        <w:rPr>
          <w:lang w:val="en-US"/>
        </w:rPr>
        <w:t xml:space="preserve"> proper configuration of the parameters 1-5, the number of preambles can be made sufficiently large, and partitioning of the preamble space could be done to handle the both SS block indication and e.g. msg3 size indication a</w:t>
      </w:r>
      <w:r w:rsidR="00E10D1D" w:rsidRPr="00777312">
        <w:rPr>
          <w:lang w:val="en-US"/>
        </w:rPr>
        <w:t>s well as</w:t>
      </w:r>
      <w:r w:rsidR="00831A42" w:rsidRPr="00777312">
        <w:rPr>
          <w:lang w:val="en-US"/>
        </w:rPr>
        <w:t xml:space="preserve"> the contention free cases listed above.</w:t>
      </w:r>
    </w:p>
    <w:p w14:paraId="1E9FA568" w14:textId="5CAA4444" w:rsidR="002E4E56" w:rsidRPr="00777312" w:rsidRDefault="002E4E56" w:rsidP="002E4E56">
      <w:pPr>
        <w:pStyle w:val="Observation"/>
        <w:rPr>
          <w:lang w:val="en-US"/>
        </w:rPr>
      </w:pPr>
      <w:bookmarkStart w:id="8" w:name="_Toc493857749"/>
      <w:bookmarkStart w:id="9" w:name="_Toc494099542"/>
      <w:bookmarkStart w:id="10" w:name="_Toc494273990"/>
      <w:bookmarkStart w:id="11" w:name="_Toc494360734"/>
      <w:bookmarkStart w:id="12" w:name="_Toc494411223"/>
      <w:r w:rsidRPr="00777312">
        <w:rPr>
          <w:lang w:val="en-US"/>
        </w:rPr>
        <w:t>By using a flexible preamble definition including also time and frequency resource, it will be possible to allocate a sufficient number of preambles to indicate the agreed features with preambles.</w:t>
      </w:r>
      <w:bookmarkEnd w:id="8"/>
      <w:bookmarkEnd w:id="9"/>
      <w:bookmarkEnd w:id="10"/>
      <w:bookmarkEnd w:id="11"/>
      <w:bookmarkEnd w:id="12"/>
    </w:p>
    <w:p w14:paraId="77C9395C" w14:textId="5EDC9417" w:rsidR="002E4E56" w:rsidRPr="00777312" w:rsidRDefault="00215F29" w:rsidP="00CE0424">
      <w:pPr>
        <w:pStyle w:val="BodyText"/>
        <w:rPr>
          <w:lang w:val="en-US"/>
        </w:rPr>
      </w:pPr>
      <w:r w:rsidRPr="00777312">
        <w:rPr>
          <w:lang w:val="en-US"/>
        </w:rPr>
        <w:t>From a RAN2 perspective, the exact definition or generation of preambles is unimportant and should be left to RAN1. For the M</w:t>
      </w:r>
      <w:r w:rsidR="001920BD" w:rsidRPr="00777312">
        <w:rPr>
          <w:lang w:val="en-US"/>
        </w:rPr>
        <w:t>AC</w:t>
      </w:r>
      <w:r w:rsidRPr="00777312">
        <w:rPr>
          <w:lang w:val="en-US"/>
        </w:rPr>
        <w:t xml:space="preserve"> layer, it is enough to obtain a list of preamble indices and their mappings to SSBs, preamble groups, requests for SI etc.</w:t>
      </w:r>
    </w:p>
    <w:p w14:paraId="7D332E66" w14:textId="1D0A4D6C" w:rsidR="007F66AB" w:rsidRDefault="007F66AB" w:rsidP="007F66AB">
      <w:pPr>
        <w:rPr>
          <w:lang w:val="en-GB"/>
        </w:rPr>
      </w:pPr>
      <w:r w:rsidRPr="00777312">
        <w:rPr>
          <w:lang w:val="en-US"/>
        </w:rPr>
        <w:t xml:space="preserve">If more than 64 preambles are allocated, the RAPID </w:t>
      </w:r>
      <w:r w:rsidR="00DC133C" w:rsidRPr="00777312">
        <w:rPr>
          <w:lang w:val="en-US"/>
        </w:rPr>
        <w:t>field</w:t>
      </w:r>
      <w:r w:rsidRPr="00777312">
        <w:rPr>
          <w:lang w:val="en-US"/>
        </w:rPr>
        <w:t xml:space="preserve"> (of 6 bits) in the RAR </w:t>
      </w:r>
      <w:r w:rsidR="000242A5" w:rsidRPr="00777312">
        <w:rPr>
          <w:lang w:val="en-US"/>
        </w:rPr>
        <w:t xml:space="preserve">MAC </w:t>
      </w:r>
      <w:r w:rsidR="004D15D2" w:rsidRPr="00777312">
        <w:rPr>
          <w:lang w:val="en-US"/>
        </w:rPr>
        <w:t>sub</w:t>
      </w:r>
      <w:r w:rsidR="006F54EF" w:rsidRPr="00777312">
        <w:rPr>
          <w:lang w:val="en-US"/>
        </w:rPr>
        <w:t xml:space="preserve"> </w:t>
      </w:r>
      <w:r w:rsidRPr="00777312">
        <w:rPr>
          <w:lang w:val="en-US"/>
        </w:rPr>
        <w:t xml:space="preserve">header would not be sufficient to </w:t>
      </w:r>
      <w:r w:rsidR="000242A5" w:rsidRPr="00777312">
        <w:rPr>
          <w:lang w:val="en-US"/>
        </w:rPr>
        <w:t xml:space="preserve">represent </w:t>
      </w:r>
      <w:r w:rsidRPr="00777312">
        <w:rPr>
          <w:lang w:val="en-US"/>
        </w:rPr>
        <w:t>the different preambles that the UE can transmit. Figure 6.1.5-1 from 3GPP TS 36.321 e20 indicate the MAC sub</w:t>
      </w:r>
      <w:r w:rsidR="006F54EF" w:rsidRPr="00777312">
        <w:rPr>
          <w:lang w:val="en-US"/>
        </w:rPr>
        <w:t xml:space="preserve"> </w:t>
      </w:r>
      <w:r w:rsidRPr="00777312">
        <w:rPr>
          <w:lang w:val="en-US"/>
        </w:rPr>
        <w:t>header design for LTE. In the figure, E is the extension file which indicates if more fields are present in the MAC header or not. T is the type fie</w:t>
      </w:r>
      <w:r w:rsidR="006F54EF" w:rsidRPr="00777312">
        <w:rPr>
          <w:lang w:val="en-US"/>
        </w:rPr>
        <w:t>l</w:t>
      </w:r>
      <w:r w:rsidRPr="00777312">
        <w:rPr>
          <w:lang w:val="en-US"/>
        </w:rPr>
        <w:t>d which indicate</w:t>
      </w:r>
      <w:r w:rsidR="006F54EF" w:rsidRPr="00777312">
        <w:rPr>
          <w:lang w:val="en-US"/>
        </w:rPr>
        <w:t>s</w:t>
      </w:r>
      <w:r w:rsidRPr="00777312">
        <w:rPr>
          <w:lang w:val="en-US"/>
        </w:rPr>
        <w:t xml:space="preserve"> whether the MAC sub</w:t>
      </w:r>
      <w:r w:rsidR="006F54EF" w:rsidRPr="00777312">
        <w:rPr>
          <w:lang w:val="en-US"/>
        </w:rPr>
        <w:t xml:space="preserve"> </w:t>
      </w:r>
      <w:r w:rsidRPr="00777312">
        <w:rPr>
          <w:lang w:val="en-US"/>
        </w:rPr>
        <w:t xml:space="preserve">header contains a Random Access ID or a </w:t>
      </w:r>
      <w:proofErr w:type="spellStart"/>
      <w:r w:rsidRPr="00777312">
        <w:rPr>
          <w:lang w:val="en-US"/>
        </w:rPr>
        <w:t>Backoff</w:t>
      </w:r>
      <w:proofErr w:type="spellEnd"/>
      <w:r w:rsidRPr="00777312">
        <w:rPr>
          <w:lang w:val="en-US"/>
        </w:rPr>
        <w:t xml:space="preserve"> Indicator.</w:t>
      </w:r>
      <w:r w:rsidR="006F54EF" w:rsidRPr="00777312">
        <w:rPr>
          <w:lang w:val="en-US"/>
        </w:rPr>
        <w:t xml:space="preserve"> </w:t>
      </w:r>
      <w:r w:rsidRPr="00777312">
        <w:rPr>
          <w:lang w:val="en-US"/>
        </w:rPr>
        <w:t>RAPID is the</w:t>
      </w:r>
      <w:r w:rsidR="006F54EF" w:rsidRPr="00777312">
        <w:rPr>
          <w:lang w:val="en-US"/>
        </w:rPr>
        <w:t xml:space="preserve"> 6 bit</w:t>
      </w:r>
      <w:r w:rsidRPr="00777312">
        <w:rPr>
          <w:lang w:val="en-US"/>
        </w:rPr>
        <w:t xml:space="preserve"> Random Access Preamble </w:t>
      </w:r>
      <w:r w:rsidR="006F54EF" w:rsidRPr="00777312">
        <w:rPr>
          <w:lang w:val="en-US"/>
        </w:rPr>
        <w:t xml:space="preserve">Identifier </w:t>
      </w:r>
      <w:r w:rsidRPr="00777312">
        <w:rPr>
          <w:lang w:val="en-US"/>
        </w:rPr>
        <w:t>field which identifies the transmitted Random Access Preamble</w:t>
      </w:r>
      <w:r w:rsidRPr="00777312">
        <w:rPr>
          <w:noProof/>
          <w:lang w:val="en-US"/>
        </w:rPr>
        <w:t>.</w:t>
      </w:r>
    </w:p>
    <w:p w14:paraId="2F87FF09" w14:textId="77777777" w:rsidR="007F66AB" w:rsidRPr="002F4F3B" w:rsidRDefault="007F66AB" w:rsidP="007F66AB">
      <w:pPr>
        <w:pStyle w:val="TH"/>
        <w:rPr>
          <w:noProof/>
        </w:rPr>
      </w:pPr>
      <w:r w:rsidRPr="002F4F3B">
        <w:rPr>
          <w:noProof/>
        </w:rPr>
        <w:object w:dxaOrig="3513" w:dyaOrig="694" w14:anchorId="179D0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4.5pt" o:ole="">
            <v:imagedata r:id="rId15" o:title=""/>
          </v:shape>
          <o:OLEObject Type="Embed" ProgID="Visio.Drawing.11" ShapeID="_x0000_i1025" DrawAspect="Content" ObjectID="_1568153358" r:id="rId16"/>
        </w:object>
      </w:r>
    </w:p>
    <w:p w14:paraId="0F4FB90A" w14:textId="77777777" w:rsidR="007F66AB" w:rsidRPr="00777312" w:rsidRDefault="007F66AB" w:rsidP="007F66AB">
      <w:pPr>
        <w:pStyle w:val="TF"/>
        <w:rPr>
          <w:lang w:val="en-US"/>
        </w:rPr>
      </w:pPr>
      <w:r w:rsidRPr="00777312">
        <w:rPr>
          <w:lang w:val="en-US"/>
        </w:rPr>
        <w:t xml:space="preserve">Figure 6.1.5-1: E/T/RAPID MAC </w:t>
      </w:r>
      <w:proofErr w:type="spellStart"/>
      <w:r w:rsidRPr="00777312">
        <w:rPr>
          <w:lang w:val="en-US"/>
        </w:rPr>
        <w:t>subheader</w:t>
      </w:r>
      <w:proofErr w:type="spellEnd"/>
    </w:p>
    <w:p w14:paraId="2582C171" w14:textId="788F11A9" w:rsidR="007F66AB" w:rsidRPr="00777312" w:rsidRDefault="007F66AB" w:rsidP="00CE0424">
      <w:pPr>
        <w:pStyle w:val="BodyText"/>
        <w:rPr>
          <w:lang w:val="en-US"/>
        </w:rPr>
      </w:pPr>
      <w:r w:rsidRPr="00777312">
        <w:rPr>
          <w:lang w:val="en-US"/>
        </w:rPr>
        <w:t>T</w:t>
      </w:r>
      <w:r w:rsidR="004D15D2" w:rsidRPr="00777312">
        <w:rPr>
          <w:lang w:val="en-US"/>
        </w:rPr>
        <w:t>here are different ways t</w:t>
      </w:r>
      <w:r w:rsidRPr="00777312">
        <w:rPr>
          <w:lang w:val="en-US"/>
        </w:rPr>
        <w:t xml:space="preserve">o make the RAPID </w:t>
      </w:r>
      <w:r w:rsidR="00FF5113" w:rsidRPr="00777312">
        <w:rPr>
          <w:noProof/>
          <w:lang w:val="en-US"/>
        </w:rPr>
        <w:t>field</w:t>
      </w:r>
      <w:r w:rsidRPr="00777312">
        <w:rPr>
          <w:lang w:val="en-US"/>
        </w:rPr>
        <w:t xml:space="preserve"> </w:t>
      </w:r>
      <w:r w:rsidR="00FF5113" w:rsidRPr="00777312">
        <w:rPr>
          <w:lang w:val="en-US"/>
        </w:rPr>
        <w:t xml:space="preserve">to be </w:t>
      </w:r>
      <w:r w:rsidR="004D15D2" w:rsidRPr="00777312">
        <w:rPr>
          <w:lang w:val="en-US"/>
        </w:rPr>
        <w:t>able to indicate more than 64 preambles.</w:t>
      </w:r>
      <w:r w:rsidRPr="00777312">
        <w:rPr>
          <w:lang w:val="en-US"/>
        </w:rPr>
        <w:t xml:space="preserve"> </w:t>
      </w:r>
    </w:p>
    <w:p w14:paraId="25F974C8" w14:textId="42390EF5" w:rsidR="00B755D2" w:rsidRPr="00777312" w:rsidRDefault="007F66AB" w:rsidP="00CE0424">
      <w:pPr>
        <w:pStyle w:val="BodyText"/>
        <w:rPr>
          <w:lang w:val="en-US"/>
        </w:rPr>
      </w:pPr>
      <w:r w:rsidRPr="00777312">
        <w:rPr>
          <w:lang w:val="en-US"/>
        </w:rPr>
        <w:t xml:space="preserve">A straightforward approach would be to increase the RAPID field to more than 6 bits. This would </w:t>
      </w:r>
      <w:r w:rsidR="004D15D2" w:rsidRPr="00777312">
        <w:rPr>
          <w:lang w:val="en-US"/>
        </w:rPr>
        <w:t>have the drawback that the RAR sub</w:t>
      </w:r>
      <w:r w:rsidR="006F54EF" w:rsidRPr="00777312">
        <w:rPr>
          <w:lang w:val="en-US"/>
        </w:rPr>
        <w:t xml:space="preserve"> </w:t>
      </w:r>
      <w:r w:rsidR="004D15D2" w:rsidRPr="00777312">
        <w:rPr>
          <w:lang w:val="en-US"/>
        </w:rPr>
        <w:t xml:space="preserve">header could not </w:t>
      </w:r>
      <w:r w:rsidR="00C65E7A" w:rsidRPr="00777312">
        <w:rPr>
          <w:lang w:val="en-US"/>
        </w:rPr>
        <w:t>fit</w:t>
      </w:r>
      <w:r w:rsidR="004D15D2" w:rsidRPr="00777312">
        <w:rPr>
          <w:lang w:val="en-US"/>
        </w:rPr>
        <w:t xml:space="preserve"> in one byte, and since the sub</w:t>
      </w:r>
      <w:r w:rsidR="006F54EF" w:rsidRPr="00777312">
        <w:rPr>
          <w:lang w:val="en-US"/>
        </w:rPr>
        <w:t xml:space="preserve"> </w:t>
      </w:r>
      <w:r w:rsidR="004D15D2" w:rsidRPr="00777312">
        <w:rPr>
          <w:lang w:val="en-US"/>
        </w:rPr>
        <w:t xml:space="preserve">headers should </w:t>
      </w:r>
      <w:r w:rsidR="006F54EF" w:rsidRPr="00777312">
        <w:rPr>
          <w:lang w:val="en-US"/>
        </w:rPr>
        <w:t xml:space="preserve">preferably </w:t>
      </w:r>
      <w:r w:rsidR="004D15D2" w:rsidRPr="00777312">
        <w:rPr>
          <w:lang w:val="en-US"/>
        </w:rPr>
        <w:t>be byte aligned, increasing the RAPID would lead to considerable overhead.</w:t>
      </w:r>
    </w:p>
    <w:p w14:paraId="7F615F38" w14:textId="4778400E" w:rsidR="004D15D2" w:rsidRPr="002B7E7C" w:rsidRDefault="004D15D2" w:rsidP="00CE0424">
      <w:pPr>
        <w:pStyle w:val="BodyText"/>
        <w:rPr>
          <w:lang w:val="en-US"/>
        </w:rPr>
      </w:pPr>
      <w:r w:rsidRPr="00777312">
        <w:rPr>
          <w:lang w:val="en-US"/>
        </w:rPr>
        <w:t xml:space="preserve">Since the RAPID together with the RA-RNTI is used to indicate to the UE that its preamble transmission has </w:t>
      </w:r>
      <w:r w:rsidR="006F54EF" w:rsidRPr="00777312">
        <w:rPr>
          <w:lang w:val="en-US"/>
        </w:rPr>
        <w:t xml:space="preserve">been </w:t>
      </w:r>
      <w:r w:rsidRPr="00777312">
        <w:rPr>
          <w:lang w:val="en-US"/>
        </w:rPr>
        <w:t xml:space="preserve">received by the </w:t>
      </w:r>
      <w:proofErr w:type="spellStart"/>
      <w:r w:rsidRPr="00777312">
        <w:rPr>
          <w:lang w:val="en-US"/>
        </w:rPr>
        <w:t>gNB</w:t>
      </w:r>
      <w:proofErr w:type="spellEnd"/>
      <w:r w:rsidRPr="00777312">
        <w:rPr>
          <w:lang w:val="en-US"/>
        </w:rPr>
        <w:t>, another option is possible by keeping the 6 bit RAPID unchanged and instead redesign the RA-RANTI. This can be done by including the SS</w:t>
      </w:r>
      <w:r w:rsidR="00133492" w:rsidRPr="00777312">
        <w:rPr>
          <w:lang w:val="en-US"/>
        </w:rPr>
        <w:t xml:space="preserve"> </w:t>
      </w:r>
      <w:r w:rsidRPr="00777312">
        <w:rPr>
          <w:lang w:val="en-US"/>
        </w:rPr>
        <w:t>block index in the RA-RNTI definition</w:t>
      </w:r>
      <w:r w:rsidR="003F181D" w:rsidRPr="00777312">
        <w:rPr>
          <w:lang w:val="en-US"/>
        </w:rPr>
        <w:t>. This would make it possible to indicate 64 preambles per SS</w:t>
      </w:r>
      <w:r w:rsidR="00133492" w:rsidRPr="00777312">
        <w:rPr>
          <w:lang w:val="en-US"/>
        </w:rPr>
        <w:t xml:space="preserve"> </w:t>
      </w:r>
      <w:r w:rsidR="003F181D" w:rsidRPr="00777312">
        <w:rPr>
          <w:lang w:val="en-US"/>
        </w:rPr>
        <w:t>block</w:t>
      </w:r>
      <w:r w:rsidR="00E10D1D" w:rsidRPr="00777312">
        <w:rPr>
          <w:lang w:val="en-US"/>
        </w:rPr>
        <w:t xml:space="preserve"> with the RAPID</w:t>
      </w:r>
      <w:r w:rsidR="00D85729" w:rsidRPr="00777312">
        <w:rPr>
          <w:lang w:val="en-US"/>
        </w:rPr>
        <w:t xml:space="preserve">. </w:t>
      </w:r>
      <w:r w:rsidR="00D85729" w:rsidRPr="002B7E7C">
        <w:rPr>
          <w:lang w:val="en-US"/>
        </w:rPr>
        <w:t>The RA-RNTI could for example be defined by</w:t>
      </w:r>
    </w:p>
    <w:p w14:paraId="6913520B" w14:textId="77777777" w:rsidR="00A51CAF" w:rsidRPr="00777312" w:rsidRDefault="00A51CAF" w:rsidP="00A51CAF">
      <w:pPr>
        <w:rPr>
          <w:rFonts w:ascii="Verdana" w:hAnsi="Verdana"/>
          <w:i/>
          <w:color w:val="000000"/>
          <w:shd w:val="clear" w:color="auto" w:fill="FFFFFF"/>
          <w:lang w:val="en-US" w:eastAsia="sv-SE"/>
        </w:rPr>
      </w:pPr>
      <w:r w:rsidRPr="00777312">
        <w:rPr>
          <w:rFonts w:ascii="Verdana" w:hAnsi="Verdana"/>
          <w:i/>
          <w:color w:val="000000"/>
          <w:shd w:val="clear" w:color="auto" w:fill="FFFFFF"/>
          <w:lang w:val="en-US"/>
        </w:rPr>
        <w:t xml:space="preserve">RA-RNTI = 1 + </w:t>
      </w:r>
      <w:proofErr w:type="spellStart"/>
      <w:r w:rsidRPr="00777312">
        <w:rPr>
          <w:rFonts w:ascii="Verdana" w:hAnsi="Verdana"/>
          <w:i/>
          <w:color w:val="000000"/>
          <w:shd w:val="clear" w:color="auto" w:fill="FFFFFF"/>
          <w:lang w:val="en-US"/>
        </w:rPr>
        <w:t>t_id</w:t>
      </w:r>
      <w:proofErr w:type="spellEnd"/>
      <w:r w:rsidRPr="00777312">
        <w:rPr>
          <w:rFonts w:ascii="Verdana" w:hAnsi="Verdana"/>
          <w:i/>
          <w:color w:val="000000"/>
          <w:shd w:val="clear" w:color="auto" w:fill="FFFFFF"/>
          <w:lang w:val="en-US"/>
        </w:rPr>
        <w:t xml:space="preserve"> + 80*</w:t>
      </w:r>
      <w:proofErr w:type="spellStart"/>
      <w:r w:rsidRPr="00777312">
        <w:rPr>
          <w:rFonts w:ascii="Verdana" w:hAnsi="Verdana"/>
          <w:i/>
          <w:color w:val="000000"/>
          <w:shd w:val="clear" w:color="auto" w:fill="FFFFFF"/>
          <w:lang w:val="en-US"/>
        </w:rPr>
        <w:t>SSB_index</w:t>
      </w:r>
      <w:proofErr w:type="spellEnd"/>
      <w:r w:rsidRPr="00777312">
        <w:rPr>
          <w:rFonts w:ascii="Verdana" w:hAnsi="Verdana"/>
          <w:i/>
          <w:color w:val="000000"/>
          <w:shd w:val="clear" w:color="auto" w:fill="FFFFFF"/>
          <w:lang w:val="en-US"/>
        </w:rPr>
        <w:t xml:space="preserve"> + 80*64 * </w:t>
      </w:r>
      <w:proofErr w:type="spellStart"/>
      <w:r w:rsidRPr="00777312">
        <w:rPr>
          <w:rFonts w:ascii="Verdana" w:hAnsi="Verdana"/>
          <w:i/>
          <w:color w:val="000000"/>
          <w:shd w:val="clear" w:color="auto" w:fill="FFFFFF"/>
          <w:lang w:val="en-US"/>
        </w:rPr>
        <w:t>f_id</w:t>
      </w:r>
      <w:proofErr w:type="spellEnd"/>
    </w:p>
    <w:p w14:paraId="15B18BC7" w14:textId="027337F4" w:rsidR="00A51CAF" w:rsidRPr="00777312" w:rsidRDefault="00D85729" w:rsidP="00A51CAF">
      <w:pPr>
        <w:pStyle w:val="BodyText"/>
        <w:rPr>
          <w:lang w:val="en-US"/>
        </w:rPr>
      </w:pPr>
      <w:r w:rsidRPr="00777312">
        <w:rPr>
          <w:lang w:val="en-US"/>
        </w:rPr>
        <w:lastRenderedPageBreak/>
        <w:t xml:space="preserve">Where </w:t>
      </w:r>
      <w:proofErr w:type="spellStart"/>
      <w:r w:rsidRPr="00777312">
        <w:rPr>
          <w:lang w:val="en-US"/>
        </w:rPr>
        <w:t>t_id</w:t>
      </w:r>
      <w:proofErr w:type="spellEnd"/>
      <w:r w:rsidRPr="00777312">
        <w:rPr>
          <w:lang w:val="en-US"/>
        </w:rPr>
        <w:t xml:space="preserve"> is the slot</w:t>
      </w:r>
      <w:r w:rsidR="005D5755" w:rsidRPr="00777312">
        <w:rPr>
          <w:lang w:val="en-US"/>
        </w:rPr>
        <w:t xml:space="preserve"> in the</w:t>
      </w:r>
      <w:r w:rsidRPr="00777312">
        <w:rPr>
          <w:lang w:val="en-US"/>
        </w:rPr>
        <w:t xml:space="preserve"> </w:t>
      </w:r>
      <w:proofErr w:type="spellStart"/>
      <w:r w:rsidRPr="00777312">
        <w:rPr>
          <w:lang w:val="en-US"/>
        </w:rPr>
        <w:t>radioframe</w:t>
      </w:r>
      <w:proofErr w:type="spellEnd"/>
      <w:r w:rsidRPr="00777312">
        <w:rPr>
          <w:lang w:val="en-US"/>
        </w:rPr>
        <w:t xml:space="preserve"> (</w:t>
      </w:r>
      <w:r w:rsidR="005D5755" w:rsidRPr="00777312">
        <w:rPr>
          <w:lang w:val="en-US"/>
        </w:rPr>
        <w:t xml:space="preserve">maximum </w:t>
      </w:r>
      <w:r w:rsidRPr="00777312">
        <w:rPr>
          <w:lang w:val="en-US"/>
        </w:rPr>
        <w:t>80</w:t>
      </w:r>
      <w:r w:rsidR="005D5755" w:rsidRPr="00777312">
        <w:rPr>
          <w:lang w:val="en-US"/>
        </w:rPr>
        <w:t xml:space="preserve"> NR</w:t>
      </w:r>
      <w:r w:rsidRPr="00777312">
        <w:rPr>
          <w:lang w:val="en-US"/>
        </w:rPr>
        <w:t xml:space="preserve"> when SCS is</w:t>
      </w:r>
      <w:r w:rsidR="006F54EF" w:rsidRPr="00777312">
        <w:rPr>
          <w:lang w:val="en-US"/>
        </w:rPr>
        <w:t xml:space="preserve"> </w:t>
      </w:r>
      <w:r w:rsidR="00BD3952" w:rsidRPr="00777312">
        <w:rPr>
          <w:lang w:val="en-US"/>
        </w:rPr>
        <w:t>120 kHz</w:t>
      </w:r>
      <w:r w:rsidR="009A217B" w:rsidRPr="00777312">
        <w:rPr>
          <w:lang w:val="en-US"/>
        </w:rPr>
        <w:t xml:space="preserve">) when the NR-RACH preamble was detected by </w:t>
      </w:r>
      <w:proofErr w:type="spellStart"/>
      <w:r w:rsidR="009A217B" w:rsidRPr="00777312">
        <w:rPr>
          <w:lang w:val="en-US"/>
        </w:rPr>
        <w:t>gNB</w:t>
      </w:r>
      <w:proofErr w:type="spellEnd"/>
      <w:r w:rsidRPr="00777312">
        <w:rPr>
          <w:lang w:val="en-US"/>
        </w:rPr>
        <w:t xml:space="preserve">, </w:t>
      </w:r>
      <w:proofErr w:type="spellStart"/>
      <w:r w:rsidRPr="00777312">
        <w:rPr>
          <w:lang w:val="en-US"/>
        </w:rPr>
        <w:t>SSB_index</w:t>
      </w:r>
      <w:proofErr w:type="spellEnd"/>
      <w:r w:rsidRPr="00777312">
        <w:rPr>
          <w:lang w:val="en-US"/>
        </w:rPr>
        <w:t xml:space="preserve"> is the index </w:t>
      </w:r>
      <w:r w:rsidR="005D5755" w:rsidRPr="00777312">
        <w:rPr>
          <w:lang w:val="en-US"/>
        </w:rPr>
        <w:t xml:space="preserve">indicated by the preamble. </w:t>
      </w:r>
      <w:r w:rsidRPr="00777312">
        <w:rPr>
          <w:lang w:val="en-US"/>
        </w:rPr>
        <w:t>i.e. the strongest beam that the UE detected</w:t>
      </w:r>
      <w:r w:rsidR="005339AB" w:rsidRPr="00777312">
        <w:rPr>
          <w:lang w:val="en-US"/>
        </w:rPr>
        <w:t xml:space="preserve"> </w:t>
      </w:r>
      <w:r w:rsidR="005D5755" w:rsidRPr="00777312">
        <w:rPr>
          <w:lang w:val="en-US"/>
        </w:rPr>
        <w:t xml:space="preserve">(maximum </w:t>
      </w:r>
      <w:r w:rsidRPr="00777312">
        <w:rPr>
          <w:lang w:val="en-US"/>
        </w:rPr>
        <w:t>64 in case of frequency range above 6GHz</w:t>
      </w:r>
      <w:r w:rsidR="005D5755" w:rsidRPr="00777312">
        <w:rPr>
          <w:lang w:val="en-US"/>
        </w:rPr>
        <w:t>) and</w:t>
      </w:r>
      <w:r w:rsidRPr="00777312">
        <w:rPr>
          <w:lang w:val="en-US"/>
        </w:rPr>
        <w:t xml:space="preserve"> </w:t>
      </w:r>
      <w:proofErr w:type="spellStart"/>
      <w:r w:rsidRPr="00777312">
        <w:rPr>
          <w:lang w:val="en-US"/>
        </w:rPr>
        <w:t>f_id</w:t>
      </w:r>
      <w:proofErr w:type="spellEnd"/>
      <w:r w:rsidRPr="00777312">
        <w:rPr>
          <w:lang w:val="en-US"/>
        </w:rPr>
        <w:t xml:space="preserve"> is the index of the specified PRACH within that </w:t>
      </w:r>
      <w:r w:rsidR="005D5755" w:rsidRPr="00777312">
        <w:rPr>
          <w:lang w:val="en-US"/>
        </w:rPr>
        <w:t>slot.</w:t>
      </w:r>
      <w:r w:rsidRPr="00777312">
        <w:rPr>
          <w:lang w:val="en-US"/>
        </w:rPr>
        <w:t xml:space="preserve"> </w:t>
      </w:r>
    </w:p>
    <w:p w14:paraId="58E9925B" w14:textId="280E3F41" w:rsidR="005D5755" w:rsidRPr="00777312" w:rsidRDefault="005D5755" w:rsidP="00A51CAF">
      <w:pPr>
        <w:pStyle w:val="BodyText"/>
        <w:rPr>
          <w:lang w:val="en-US"/>
        </w:rPr>
      </w:pPr>
      <w:r w:rsidRPr="00777312">
        <w:rPr>
          <w:lang w:val="en-US"/>
        </w:rPr>
        <w:t>Compared to LTE, where the RAPID has a one-to-one association with the preamble, the above given RA-RNTI formula will give a one-to-many mapping between the RAPID and the preamble. The one-to-one mapping between RAPID and preamble is only valid within SS</w:t>
      </w:r>
      <w:r w:rsidR="00AC4483" w:rsidRPr="00777312">
        <w:rPr>
          <w:lang w:val="en-US"/>
        </w:rPr>
        <w:t xml:space="preserve"> </w:t>
      </w:r>
      <w:r w:rsidRPr="00777312">
        <w:rPr>
          <w:lang w:val="en-US"/>
        </w:rPr>
        <w:t>block index.</w:t>
      </w:r>
    </w:p>
    <w:p w14:paraId="01C6BFB6" w14:textId="3AD201E1" w:rsidR="005D5755" w:rsidRPr="00777312" w:rsidRDefault="005D5755" w:rsidP="005D5755">
      <w:pPr>
        <w:pStyle w:val="BodyText"/>
        <w:rPr>
          <w:lang w:val="en-US"/>
        </w:rPr>
      </w:pPr>
    </w:p>
    <w:p w14:paraId="40B54CB5" w14:textId="5528287C" w:rsidR="005D5755" w:rsidRPr="00777312" w:rsidRDefault="005D5755" w:rsidP="005D5755">
      <w:pPr>
        <w:pStyle w:val="Proposal"/>
        <w:rPr>
          <w:lang w:val="en-US"/>
        </w:rPr>
      </w:pPr>
      <w:bookmarkStart w:id="13" w:name="_Toc492632676"/>
      <w:bookmarkStart w:id="14" w:name="_Toc492639316"/>
      <w:bookmarkStart w:id="15" w:name="_Toc494099544"/>
      <w:bookmarkStart w:id="16" w:name="_Toc494099568"/>
      <w:bookmarkStart w:id="17" w:name="_Toc494273993"/>
      <w:bookmarkStart w:id="18" w:name="_Toc494274697"/>
      <w:bookmarkStart w:id="19" w:name="_Toc494283201"/>
      <w:bookmarkStart w:id="20" w:name="_Toc494360737"/>
      <w:bookmarkStart w:id="21" w:name="_Toc494411224"/>
      <w:r w:rsidRPr="00777312">
        <w:rPr>
          <w:lang w:val="en-US"/>
        </w:rPr>
        <w:t xml:space="preserve">Define the RA-RNTI by RA-RNTI = 1 + </w:t>
      </w:r>
      <w:proofErr w:type="spellStart"/>
      <w:r w:rsidRPr="00777312">
        <w:rPr>
          <w:lang w:val="en-US"/>
        </w:rPr>
        <w:t>t_id</w:t>
      </w:r>
      <w:proofErr w:type="spellEnd"/>
      <w:r w:rsidRPr="00777312">
        <w:rPr>
          <w:lang w:val="en-US"/>
        </w:rPr>
        <w:t xml:space="preserve"> + 80*</w:t>
      </w:r>
      <w:proofErr w:type="spellStart"/>
      <w:r w:rsidRPr="00777312">
        <w:rPr>
          <w:lang w:val="en-US"/>
        </w:rPr>
        <w:t>SSB_index</w:t>
      </w:r>
      <w:proofErr w:type="spellEnd"/>
      <w:r w:rsidRPr="00777312">
        <w:rPr>
          <w:lang w:val="en-US"/>
        </w:rPr>
        <w:t xml:space="preserve"> + 80*64 * </w:t>
      </w:r>
      <w:proofErr w:type="spellStart"/>
      <w:r w:rsidRPr="00777312">
        <w:rPr>
          <w:lang w:val="en-US"/>
        </w:rPr>
        <w:t>f_id</w:t>
      </w:r>
      <w:proofErr w:type="spellEnd"/>
      <w:r w:rsidRPr="00777312">
        <w:rPr>
          <w:lang w:val="en-US"/>
        </w:rPr>
        <w:t xml:space="preserve">, where </w:t>
      </w:r>
      <w:proofErr w:type="spellStart"/>
      <w:r w:rsidRPr="00777312">
        <w:rPr>
          <w:lang w:val="en-US"/>
        </w:rPr>
        <w:t>t_id</w:t>
      </w:r>
      <w:proofErr w:type="spellEnd"/>
      <w:r w:rsidRPr="00777312">
        <w:rPr>
          <w:lang w:val="en-US"/>
        </w:rPr>
        <w:t xml:space="preserve"> is the slot, </w:t>
      </w:r>
      <w:proofErr w:type="spellStart"/>
      <w:r w:rsidRPr="00777312">
        <w:rPr>
          <w:lang w:val="en-US"/>
        </w:rPr>
        <w:t>SSB_index</w:t>
      </w:r>
      <w:proofErr w:type="spellEnd"/>
      <w:r w:rsidRPr="00777312">
        <w:rPr>
          <w:lang w:val="en-US"/>
        </w:rPr>
        <w:t xml:space="preserve"> is the index indicated by the preamble and </w:t>
      </w:r>
      <w:proofErr w:type="spellStart"/>
      <w:r w:rsidRPr="00777312">
        <w:rPr>
          <w:lang w:val="en-US"/>
        </w:rPr>
        <w:t>f_id</w:t>
      </w:r>
      <w:proofErr w:type="spellEnd"/>
      <w:r w:rsidRPr="00777312">
        <w:rPr>
          <w:lang w:val="en-US"/>
        </w:rPr>
        <w:t xml:space="preserve"> is the index of the specified PRACH.</w:t>
      </w:r>
      <w:bookmarkEnd w:id="13"/>
      <w:bookmarkEnd w:id="14"/>
      <w:bookmarkEnd w:id="15"/>
      <w:bookmarkEnd w:id="16"/>
      <w:bookmarkEnd w:id="17"/>
      <w:bookmarkEnd w:id="18"/>
      <w:bookmarkEnd w:id="19"/>
      <w:bookmarkEnd w:id="20"/>
      <w:bookmarkEnd w:id="21"/>
    </w:p>
    <w:p w14:paraId="5F606F9A" w14:textId="5933C041" w:rsidR="00CB33AE" w:rsidRPr="00777312" w:rsidRDefault="00A343EA" w:rsidP="00CE0424">
      <w:pPr>
        <w:pStyle w:val="BodyText"/>
        <w:rPr>
          <w:lang w:val="en-US"/>
        </w:rPr>
      </w:pPr>
      <w:r w:rsidRPr="00777312">
        <w:rPr>
          <w:lang w:val="en-US"/>
        </w:rPr>
        <w:t xml:space="preserve">An example of how </w:t>
      </w:r>
      <w:r w:rsidR="003323A2" w:rsidRPr="00777312">
        <w:rPr>
          <w:lang w:val="en-US"/>
        </w:rPr>
        <w:t>the preamble index can be determined based on the RA-RNTI and RAPID</w:t>
      </w:r>
      <w:r w:rsidR="00E10D1D" w:rsidRPr="00777312">
        <w:rPr>
          <w:lang w:val="en-US"/>
        </w:rPr>
        <w:t xml:space="preserve"> is </w:t>
      </w:r>
      <w:r w:rsidR="003323A2" w:rsidRPr="00777312">
        <w:rPr>
          <w:lang w:val="en-US"/>
        </w:rPr>
        <w:t xml:space="preserve">explained </w:t>
      </w:r>
      <w:r w:rsidR="00CB33AE" w:rsidRPr="00777312">
        <w:rPr>
          <w:lang w:val="en-US"/>
        </w:rPr>
        <w:t xml:space="preserve">in </w:t>
      </w:r>
      <w:r w:rsidR="00CB33AE">
        <w:fldChar w:fldCharType="begin"/>
      </w:r>
      <w:r w:rsidR="00CB33AE" w:rsidRPr="00777312">
        <w:rPr>
          <w:lang w:val="en-US"/>
        </w:rPr>
        <w:instrText xml:space="preserve"> REF _Ref494096755 \h </w:instrText>
      </w:r>
      <w:r w:rsidR="00777312" w:rsidRPr="00A91CAF">
        <w:rPr>
          <w:lang w:val="en-US"/>
        </w:rPr>
        <w:instrText xml:space="preserve"> \* MERGEFORMAT </w:instrText>
      </w:r>
      <w:r w:rsidR="00CB33AE">
        <w:fldChar w:fldCharType="separate"/>
      </w:r>
      <w:r w:rsidR="00C92741" w:rsidRPr="00A91CAF">
        <w:rPr>
          <w:bCs/>
          <w:lang w:val="en-US"/>
        </w:rPr>
        <w:t>Figure</w:t>
      </w:r>
      <w:r w:rsidR="00C92741" w:rsidRPr="00777312">
        <w:rPr>
          <w:b/>
          <w:bCs/>
          <w:lang w:val="en-US"/>
        </w:rPr>
        <w:t xml:space="preserve"> </w:t>
      </w:r>
      <w:r w:rsidR="00C92741" w:rsidRPr="00777312">
        <w:rPr>
          <w:noProof/>
          <w:lang w:val="en-US"/>
        </w:rPr>
        <w:t>1</w:t>
      </w:r>
      <w:r w:rsidR="00CB33AE">
        <w:fldChar w:fldCharType="end"/>
      </w:r>
      <w:r w:rsidR="00CB33AE" w:rsidRPr="00777312">
        <w:rPr>
          <w:lang w:val="en-US"/>
        </w:rPr>
        <w:t xml:space="preserve">, where for the sake of discussion, we assume that 128 preambles and two SS blocks are </w:t>
      </w:r>
      <w:r w:rsidR="00C92741" w:rsidRPr="00777312">
        <w:rPr>
          <w:lang w:val="en-US"/>
        </w:rPr>
        <w:t>configured</w:t>
      </w:r>
      <w:r w:rsidR="00CB33AE" w:rsidRPr="00777312">
        <w:rPr>
          <w:lang w:val="en-US"/>
        </w:rPr>
        <w:t>.</w:t>
      </w:r>
    </w:p>
    <w:p w14:paraId="40DC9F96" w14:textId="52AD42DA" w:rsidR="003323A2" w:rsidRDefault="0092524C" w:rsidP="00CE0424">
      <w:pPr>
        <w:pStyle w:val="BodyText"/>
      </w:pPr>
      <w:r>
        <w:rPr>
          <w:noProof/>
          <w:lang w:eastAsia="sv-SE"/>
        </w:rPr>
        <w:drawing>
          <wp:inline distT="0" distB="0" distL="0" distR="0" wp14:anchorId="54EF77DA" wp14:editId="4AA777DB">
            <wp:extent cx="6292800" cy="299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92800" cy="2998800"/>
                    </a:xfrm>
                    <a:prstGeom prst="rect">
                      <a:avLst/>
                    </a:prstGeom>
                    <a:noFill/>
                  </pic:spPr>
                </pic:pic>
              </a:graphicData>
            </a:graphic>
          </wp:inline>
        </w:drawing>
      </w:r>
    </w:p>
    <w:p w14:paraId="6247FE15" w14:textId="63DAEA56" w:rsidR="00CB33AE" w:rsidRPr="00777312" w:rsidRDefault="00CB33AE" w:rsidP="00777312">
      <w:pPr>
        <w:pStyle w:val="Caption"/>
        <w:rPr>
          <w:lang w:val="en-US"/>
        </w:rPr>
      </w:pPr>
      <w:bookmarkStart w:id="22" w:name="_Ref494096755"/>
      <w:r w:rsidRPr="00777312">
        <w:rPr>
          <w:lang w:val="en-US"/>
        </w:rPr>
        <w:t xml:space="preserve">Figure </w:t>
      </w:r>
      <w:r>
        <w:fldChar w:fldCharType="begin"/>
      </w:r>
      <w:r w:rsidRPr="00777312">
        <w:rPr>
          <w:lang w:val="en-US"/>
        </w:rPr>
        <w:instrText xml:space="preserve"> SEQ Figure \* ARABIC </w:instrText>
      </w:r>
      <w:r>
        <w:fldChar w:fldCharType="separate"/>
      </w:r>
      <w:r w:rsidR="00C92741" w:rsidRPr="00777312">
        <w:rPr>
          <w:noProof/>
          <w:lang w:val="en-US"/>
        </w:rPr>
        <w:t>1</w:t>
      </w:r>
      <w:r>
        <w:fldChar w:fldCharType="end"/>
      </w:r>
      <w:bookmarkEnd w:id="22"/>
      <w:r w:rsidR="00600BE0" w:rsidRPr="00777312">
        <w:rPr>
          <w:lang w:val="en-US"/>
        </w:rPr>
        <w:t xml:space="preserve"> Example of preamble configuration with two SSBs and 64 preambles each. The </w:t>
      </w:r>
      <w:proofErr w:type="spellStart"/>
      <w:r w:rsidR="00600BE0" w:rsidRPr="00777312">
        <w:rPr>
          <w:lang w:val="en-US"/>
        </w:rPr>
        <w:t>i</w:t>
      </w:r>
      <w:r w:rsidR="00600BE0" w:rsidRPr="00777312">
        <w:rPr>
          <w:vertAlign w:val="superscript"/>
          <w:lang w:val="en-US"/>
        </w:rPr>
        <w:t>th</w:t>
      </w:r>
      <w:proofErr w:type="spellEnd"/>
      <w:r w:rsidR="00600BE0" w:rsidRPr="00777312">
        <w:rPr>
          <w:lang w:val="en-US"/>
        </w:rPr>
        <w:t xml:space="preserve"> preamble in each SSB corresponds to the same RAPID.</w:t>
      </w:r>
    </w:p>
    <w:p w14:paraId="4CD7716A" w14:textId="148AA737" w:rsidR="009C2A0C" w:rsidRPr="00A91CAF" w:rsidRDefault="00E10D1D" w:rsidP="009C2A0C">
      <w:pPr>
        <w:rPr>
          <w:lang w:val="en-US"/>
        </w:rPr>
      </w:pPr>
      <w:r w:rsidRPr="00777312">
        <w:rPr>
          <w:lang w:val="en-US"/>
        </w:rPr>
        <w:t>Assume further that</w:t>
      </w:r>
      <w:r w:rsidR="00A343EA" w:rsidRPr="00777312">
        <w:rPr>
          <w:lang w:val="en-US"/>
        </w:rPr>
        <w:t xml:space="preserve"> preamble 1-64 indicate SSB</w:t>
      </w:r>
      <w:r w:rsidRPr="00777312">
        <w:rPr>
          <w:lang w:val="en-US"/>
        </w:rPr>
        <w:t xml:space="preserve"> </w:t>
      </w:r>
      <w:r w:rsidR="00A343EA" w:rsidRPr="00777312">
        <w:rPr>
          <w:lang w:val="en-US"/>
        </w:rPr>
        <w:t>1 and preamble 65-128 indicate SSB</w:t>
      </w:r>
      <w:r w:rsidRPr="00777312">
        <w:rPr>
          <w:lang w:val="en-US"/>
        </w:rPr>
        <w:t xml:space="preserve"> </w:t>
      </w:r>
      <w:r w:rsidR="00A343EA" w:rsidRPr="00777312">
        <w:rPr>
          <w:lang w:val="en-US"/>
        </w:rPr>
        <w:t xml:space="preserve">2. Then e.g. RAPID 000001 could indicate </w:t>
      </w:r>
      <w:r w:rsidR="00AC4483" w:rsidRPr="00777312">
        <w:rPr>
          <w:lang w:val="en-US"/>
        </w:rPr>
        <w:t xml:space="preserve">both </w:t>
      </w:r>
      <w:r w:rsidR="00A343EA" w:rsidRPr="00777312">
        <w:rPr>
          <w:lang w:val="en-US"/>
        </w:rPr>
        <w:t>preamble 1 and preamble 65</w:t>
      </w:r>
      <w:r w:rsidR="00AC4483" w:rsidRPr="00777312">
        <w:rPr>
          <w:lang w:val="en-US"/>
        </w:rPr>
        <w:t>, but with different scrambling settings based on RA-RNTI</w:t>
      </w:r>
      <w:r w:rsidR="00A343EA" w:rsidRPr="00777312">
        <w:rPr>
          <w:lang w:val="en-US"/>
        </w:rPr>
        <w:t>. The RA-RNTI for these preambles would be different and since the RAR is scrambled by the RA-RNTI of the preamble, the UE will know if the preamble 1 or 65 is acknowledged by the RAR with RAPID 000001.</w:t>
      </w:r>
      <w:r w:rsidR="003323A2" w:rsidRPr="00777312">
        <w:rPr>
          <w:lang w:val="en-US"/>
        </w:rPr>
        <w:t xml:space="preserve"> The same principle holds for the other preambles, i.e. the </w:t>
      </w:r>
      <w:proofErr w:type="spellStart"/>
      <w:r w:rsidR="003323A2" w:rsidRPr="00777312">
        <w:rPr>
          <w:lang w:val="en-US"/>
        </w:rPr>
        <w:t>i</w:t>
      </w:r>
      <w:r w:rsidR="003323A2" w:rsidRPr="00777312">
        <w:rPr>
          <w:vertAlign w:val="superscript"/>
          <w:lang w:val="en-US"/>
        </w:rPr>
        <w:t>th</w:t>
      </w:r>
      <w:proofErr w:type="spellEnd"/>
      <w:r w:rsidR="003323A2" w:rsidRPr="00777312">
        <w:rPr>
          <w:lang w:val="en-US"/>
        </w:rPr>
        <w:t xml:space="preserve"> preamble in every SSB has the same RAPID.</w:t>
      </w:r>
      <w:r w:rsidR="00916250" w:rsidRPr="00777312">
        <w:rPr>
          <w:lang w:val="en-US"/>
        </w:rPr>
        <w:t xml:space="preserve"> Hence, by using the RA-RNTI definition in proposal 1 and the 6 bit RAPID where </w:t>
      </w:r>
      <w:proofErr w:type="spellStart"/>
      <w:r w:rsidR="00916250" w:rsidRPr="00777312">
        <w:rPr>
          <w:lang w:val="en-US"/>
        </w:rPr>
        <w:t>i</w:t>
      </w:r>
      <w:r w:rsidR="00916250" w:rsidRPr="00777312">
        <w:rPr>
          <w:vertAlign w:val="superscript"/>
          <w:lang w:val="en-US"/>
        </w:rPr>
        <w:t>th</w:t>
      </w:r>
      <w:proofErr w:type="spellEnd"/>
      <w:r w:rsidR="00916250" w:rsidRPr="00777312">
        <w:rPr>
          <w:lang w:val="en-US"/>
        </w:rPr>
        <w:t xml:space="preserve"> preamble in every SSB has the same RAPID, any preamble can be identified by the RA-RNTI and RAPID. </w:t>
      </w:r>
      <w:r w:rsidR="009C2A0C" w:rsidRPr="00A91CAF">
        <w:rPr>
          <w:lang w:val="en-US"/>
        </w:rPr>
        <w:t>Expressed in a more mathematical notation</w:t>
      </w:r>
      <w:r w:rsidR="00121DAA" w:rsidRPr="00A91CAF">
        <w:rPr>
          <w:lang w:val="en-US"/>
        </w:rPr>
        <w:t xml:space="preserve"> and assuming equal number of preambles configured for each SSB</w:t>
      </w:r>
      <w:r w:rsidR="009C2A0C" w:rsidRPr="00A91CAF">
        <w:rPr>
          <w:lang w:val="en-US"/>
        </w:rPr>
        <w:t>, the preamble id is derived from the RAPID as the preamble id which satisfies</w:t>
      </w:r>
    </w:p>
    <w:p w14:paraId="12E0F894" w14:textId="77777777" w:rsidR="009C2A0C" w:rsidRPr="00A91CAF" w:rsidRDefault="009C2A0C" w:rsidP="009C2A0C">
      <w:pPr>
        <w:pStyle w:val="BodyText"/>
        <w:rPr>
          <w:lang w:val="en-US"/>
        </w:rPr>
      </w:pPr>
      <w:r w:rsidRPr="00A91CAF">
        <w:rPr>
          <w:lang w:val="en-US"/>
        </w:rPr>
        <w:t>RAPID = preamble id Modulo(number of preambles per SSB)</w:t>
      </w:r>
    </w:p>
    <w:p w14:paraId="091392B8" w14:textId="4D42B32F" w:rsidR="003323A2" w:rsidRPr="00A91CAF" w:rsidRDefault="00916250" w:rsidP="009C2A0C">
      <w:pPr>
        <w:pStyle w:val="BodyText"/>
        <w:rPr>
          <w:lang w:val="en-US"/>
        </w:rPr>
      </w:pPr>
      <w:r w:rsidRPr="00A91CAF">
        <w:rPr>
          <w:lang w:val="en-US"/>
        </w:rPr>
        <w:t>Therefore, we propose the following.</w:t>
      </w:r>
      <w:r w:rsidR="009C2A0C" w:rsidRPr="00A91CAF">
        <w:rPr>
          <w:lang w:val="en-US"/>
        </w:rPr>
        <w:t xml:space="preserve"> </w:t>
      </w:r>
    </w:p>
    <w:p w14:paraId="4EF05F14" w14:textId="295A4D84" w:rsidR="003323A2" w:rsidRPr="00A91CAF" w:rsidRDefault="00916250" w:rsidP="003323A2">
      <w:pPr>
        <w:pStyle w:val="Proposal"/>
        <w:rPr>
          <w:lang w:val="en-US"/>
        </w:rPr>
      </w:pPr>
      <w:bookmarkStart w:id="23" w:name="_Toc494099545"/>
      <w:bookmarkStart w:id="24" w:name="_Toc494099569"/>
      <w:bookmarkStart w:id="25" w:name="_Toc494273994"/>
      <w:bookmarkStart w:id="26" w:name="_Toc494274698"/>
      <w:bookmarkStart w:id="27" w:name="_Toc494283202"/>
      <w:bookmarkStart w:id="28" w:name="_Toc494360738"/>
      <w:bookmarkStart w:id="29" w:name="_Toc494411225"/>
      <w:r w:rsidRPr="00A91CAF">
        <w:rPr>
          <w:lang w:val="en-US"/>
        </w:rPr>
        <w:t>As in LTE, t</w:t>
      </w:r>
      <w:r w:rsidR="003323A2" w:rsidRPr="00A91CAF">
        <w:rPr>
          <w:lang w:val="en-US"/>
        </w:rPr>
        <w:t>he RAPID field in the RAR sub</w:t>
      </w:r>
      <w:r w:rsidRPr="00A91CAF">
        <w:rPr>
          <w:lang w:val="en-US"/>
        </w:rPr>
        <w:t xml:space="preserve"> </w:t>
      </w:r>
      <w:r w:rsidR="003323A2" w:rsidRPr="00A91CAF">
        <w:rPr>
          <w:lang w:val="en-US"/>
        </w:rPr>
        <w:t>header has 6 bits.</w:t>
      </w:r>
      <w:bookmarkEnd w:id="23"/>
      <w:bookmarkEnd w:id="24"/>
      <w:bookmarkEnd w:id="25"/>
      <w:bookmarkEnd w:id="26"/>
      <w:bookmarkEnd w:id="27"/>
      <w:bookmarkEnd w:id="28"/>
      <w:bookmarkEnd w:id="29"/>
    </w:p>
    <w:p w14:paraId="001C6FA9" w14:textId="5D592247" w:rsidR="003323A2" w:rsidRPr="00A91CAF" w:rsidRDefault="003323A2" w:rsidP="003323A2">
      <w:pPr>
        <w:pStyle w:val="Proposal"/>
        <w:rPr>
          <w:lang w:val="en-US"/>
        </w:rPr>
      </w:pPr>
      <w:bookmarkStart w:id="30" w:name="_Toc494099546"/>
      <w:bookmarkStart w:id="31" w:name="_Toc494099570"/>
      <w:bookmarkStart w:id="32" w:name="_Toc494273995"/>
      <w:bookmarkStart w:id="33" w:name="_Toc494274699"/>
      <w:bookmarkStart w:id="34" w:name="_Toc494283203"/>
      <w:bookmarkStart w:id="35" w:name="_Toc494360739"/>
      <w:bookmarkStart w:id="36" w:name="_Toc494411226"/>
      <w:r w:rsidRPr="00A91CAF">
        <w:rPr>
          <w:lang w:val="en-US"/>
        </w:rPr>
        <w:t xml:space="preserve">The </w:t>
      </w:r>
      <w:proofErr w:type="spellStart"/>
      <w:r w:rsidRPr="00A91CAF">
        <w:rPr>
          <w:lang w:val="en-US"/>
        </w:rPr>
        <w:t>i</w:t>
      </w:r>
      <w:r w:rsidRPr="00A91CAF">
        <w:rPr>
          <w:vertAlign w:val="superscript"/>
          <w:lang w:val="en-US"/>
        </w:rPr>
        <w:t>th</w:t>
      </w:r>
      <w:proofErr w:type="spellEnd"/>
      <w:r w:rsidRPr="00A91CAF">
        <w:rPr>
          <w:lang w:val="en-US"/>
        </w:rPr>
        <w:t xml:space="preserve"> preamble in every SSB has the same RAPID in the RAR sub header.</w:t>
      </w:r>
      <w:bookmarkEnd w:id="30"/>
      <w:bookmarkEnd w:id="31"/>
      <w:bookmarkEnd w:id="32"/>
      <w:bookmarkEnd w:id="33"/>
      <w:bookmarkEnd w:id="34"/>
      <w:bookmarkEnd w:id="35"/>
      <w:bookmarkEnd w:id="36"/>
    </w:p>
    <w:p w14:paraId="3F84E951" w14:textId="788681E7" w:rsidR="009C2A0C" w:rsidRPr="00A91CAF" w:rsidRDefault="009C2A0C" w:rsidP="003323A2">
      <w:pPr>
        <w:pStyle w:val="Proposal"/>
        <w:rPr>
          <w:lang w:val="en-US"/>
        </w:rPr>
      </w:pPr>
      <w:bookmarkStart w:id="37" w:name="_Toc494273996"/>
      <w:bookmarkStart w:id="38" w:name="_Toc494274700"/>
      <w:bookmarkStart w:id="39" w:name="_Toc494283204"/>
      <w:bookmarkStart w:id="40" w:name="_Toc494360740"/>
      <w:bookmarkStart w:id="41" w:name="_Toc494411227"/>
      <w:r w:rsidRPr="00A91CAF">
        <w:rPr>
          <w:lang w:val="en-US"/>
        </w:rPr>
        <w:lastRenderedPageBreak/>
        <w:t xml:space="preserve">For </w:t>
      </w:r>
      <w:r w:rsidR="00C21705" w:rsidRPr="00A91CAF">
        <w:rPr>
          <w:lang w:val="en-US"/>
        </w:rPr>
        <w:t>a given</w:t>
      </w:r>
      <w:r w:rsidRPr="00A91CAF">
        <w:rPr>
          <w:lang w:val="en-US"/>
        </w:rPr>
        <w:t xml:space="preserve"> SSB, the preamble id is derived from the RAPID as the preamble id which satisfies: RAPID = preamble id Modulo(</w:t>
      </w:r>
      <w:r w:rsidR="00732977" w:rsidRPr="00A91CAF">
        <w:rPr>
          <w:lang w:val="en-US"/>
        </w:rPr>
        <w:t>N</w:t>
      </w:r>
      <w:r w:rsidRPr="00A91CAF">
        <w:rPr>
          <w:lang w:val="en-US"/>
        </w:rPr>
        <w:t>umber of preambles per SSB)</w:t>
      </w:r>
      <w:bookmarkEnd w:id="37"/>
      <w:bookmarkEnd w:id="38"/>
      <w:bookmarkEnd w:id="39"/>
      <w:bookmarkEnd w:id="40"/>
      <w:bookmarkEnd w:id="41"/>
    </w:p>
    <w:p w14:paraId="19F6D205" w14:textId="48BA4102" w:rsidR="003742AC" w:rsidRDefault="001964E1" w:rsidP="00A04F49">
      <w:pPr>
        <w:pStyle w:val="BodyText"/>
        <w:rPr>
          <w:lang w:val="en-US"/>
        </w:rPr>
      </w:pPr>
      <w:r w:rsidRPr="00A91CAF">
        <w:rPr>
          <w:lang w:val="en-US"/>
        </w:rPr>
        <w:t xml:space="preserve">The RAR definition will have implications on which RARs that can be multiplexed. </w:t>
      </w:r>
      <w:r w:rsidR="00E10D1D" w:rsidRPr="00A91CAF">
        <w:rPr>
          <w:lang w:val="en-US"/>
        </w:rPr>
        <w:t>As in LTE,</w:t>
      </w:r>
      <w:r w:rsidRPr="00A91CAF">
        <w:rPr>
          <w:lang w:val="en-US"/>
        </w:rPr>
        <w:t xml:space="preserve"> o</w:t>
      </w:r>
      <w:r w:rsidR="00E10D1D" w:rsidRPr="00A91CAF">
        <w:rPr>
          <w:lang w:val="en-US"/>
        </w:rPr>
        <w:t xml:space="preserve">nly RARs with the same RA-RNTI can be multiplexed. </w:t>
      </w:r>
      <w:r w:rsidRPr="00A91CAF">
        <w:rPr>
          <w:lang w:val="en-US"/>
        </w:rPr>
        <w:t xml:space="preserve">Defining the RAR using SSB index will also restrict the multiplexing of RARs to those </w:t>
      </w:r>
      <w:r w:rsidR="00471E2B" w:rsidRPr="00A91CAF">
        <w:rPr>
          <w:lang w:val="en-US"/>
        </w:rPr>
        <w:t>preambles that indicate the same SSB index. However, this will be no issue since preambles indicating different SSB indices would anyway be sent on different beams, and multiplexing of them would not be possible.</w:t>
      </w:r>
    </w:p>
    <w:p w14:paraId="2C5CBD7F" w14:textId="4002C59D" w:rsidR="00A91CAF" w:rsidRPr="00A91CAF" w:rsidRDefault="00A91CAF" w:rsidP="00A91CAF">
      <w:pPr>
        <w:rPr>
          <w:lang w:val="en-US"/>
        </w:rPr>
      </w:pPr>
      <w:r w:rsidRPr="00A91CAF">
        <w:rPr>
          <w:lang w:val="en-US"/>
        </w:rPr>
        <w:t>A text proposal covering these proposals can be found in [2].</w:t>
      </w:r>
    </w:p>
    <w:p w14:paraId="522CD7E3" w14:textId="77777777" w:rsidR="00C01F33" w:rsidRPr="00CE0424" w:rsidRDefault="00C01F33" w:rsidP="00CE0424">
      <w:pPr>
        <w:pStyle w:val="Heading1"/>
      </w:pPr>
      <w:bookmarkStart w:id="42" w:name="_Toc347822667"/>
      <w:bookmarkStart w:id="43" w:name="_Toc347823813"/>
      <w:bookmarkStart w:id="44" w:name="_Toc347823994"/>
      <w:bookmarkStart w:id="45" w:name="_Toc347824245"/>
      <w:bookmarkStart w:id="46" w:name="_Toc492558070"/>
      <w:bookmarkEnd w:id="42"/>
      <w:bookmarkEnd w:id="43"/>
      <w:bookmarkEnd w:id="44"/>
      <w:bookmarkEnd w:id="45"/>
      <w:bookmarkEnd w:id="46"/>
      <w:r w:rsidRPr="00CE0424">
        <w:t>Conclusion</w:t>
      </w:r>
    </w:p>
    <w:p w14:paraId="07495DB3" w14:textId="7EA37AC5" w:rsidR="008661B7" w:rsidRPr="00777312" w:rsidRDefault="008E065E">
      <w:pPr>
        <w:pStyle w:val="TOC1"/>
        <w:rPr>
          <w:b w:val="0"/>
        </w:rPr>
      </w:pPr>
      <w:r w:rsidRPr="00777312">
        <w:rPr>
          <w:b w:val="0"/>
        </w:rPr>
        <w:t xml:space="preserve">In section </w:t>
      </w:r>
      <w:r w:rsidRPr="00777312">
        <w:rPr>
          <w:b w:val="0"/>
          <w:highlight w:val="cyan"/>
        </w:rPr>
        <w:fldChar w:fldCharType="begin"/>
      </w:r>
      <w:r w:rsidRPr="00777312">
        <w:rPr>
          <w:b w:val="0"/>
        </w:rPr>
        <w:instrText xml:space="preserve"> REF _Ref178064866 \r \h </w:instrText>
      </w:r>
      <w:r w:rsidR="00916250">
        <w:rPr>
          <w:b w:val="0"/>
          <w:highlight w:val="cyan"/>
        </w:rPr>
        <w:instrText xml:space="preserve"> \* MERGEFORMAT </w:instrText>
      </w:r>
      <w:r w:rsidRPr="00777312">
        <w:rPr>
          <w:b w:val="0"/>
          <w:highlight w:val="cyan"/>
        </w:rPr>
      </w:r>
      <w:r w:rsidRPr="00777312">
        <w:rPr>
          <w:b w:val="0"/>
          <w:highlight w:val="cyan"/>
        </w:rPr>
        <w:fldChar w:fldCharType="separate"/>
      </w:r>
      <w:r w:rsidR="00C92741">
        <w:rPr>
          <w:b w:val="0"/>
        </w:rPr>
        <w:t>2</w:t>
      </w:r>
      <w:r w:rsidRPr="00777312">
        <w:rPr>
          <w:b w:val="0"/>
          <w:highlight w:val="cyan"/>
        </w:rPr>
        <w:fldChar w:fldCharType="end"/>
      </w:r>
      <w:r w:rsidRPr="00777312">
        <w:rPr>
          <w:b w:val="0"/>
        </w:rPr>
        <w:t xml:space="preserve"> we made the following observations:</w:t>
      </w:r>
    </w:p>
    <w:p w14:paraId="128F544A" w14:textId="77777777" w:rsidR="00EF2A11" w:rsidRDefault="008E065E">
      <w:pPr>
        <w:pStyle w:val="TOC1"/>
        <w:rPr>
          <w:rFonts w:asciiTheme="minorHAnsi" w:eastAsiaTheme="minorEastAsia" w:hAnsiTheme="minorHAnsi" w:cstheme="minorBidi"/>
          <w:b w:val="0"/>
          <w:sz w:val="22"/>
          <w:lang w:val="sv-SE"/>
        </w:rPr>
      </w:pPr>
      <w:r>
        <w:rPr>
          <w:b w:val="0"/>
          <w:bCs/>
        </w:rPr>
        <w:fldChar w:fldCharType="begin"/>
      </w:r>
      <w:r w:rsidRPr="00F81067">
        <w:rPr>
          <w:b w:val="0"/>
        </w:rPr>
        <w:instrText xml:space="preserve"> TOC \f \n \t "Observation;1" </w:instrText>
      </w:r>
      <w:r>
        <w:rPr>
          <w:b w:val="0"/>
          <w:bCs/>
        </w:rPr>
        <w:fldChar w:fldCharType="separate"/>
      </w:r>
      <w:r w:rsidR="00EF2A11" w:rsidRPr="00827102">
        <w:t>Observation 1</w:t>
      </w:r>
      <w:r w:rsidR="00EF2A11">
        <w:rPr>
          <w:rFonts w:asciiTheme="minorHAnsi" w:eastAsiaTheme="minorEastAsia" w:hAnsiTheme="minorHAnsi" w:cstheme="minorBidi"/>
          <w:b w:val="0"/>
          <w:sz w:val="22"/>
          <w:lang w:val="sv-SE"/>
        </w:rPr>
        <w:tab/>
      </w:r>
      <w:r w:rsidR="00EF2A11" w:rsidRPr="00827102">
        <w:t>Allocating only 64 preambles in NR will not be sufficient to indicate both best SS block index and other agreed and/or discussed features.</w:t>
      </w:r>
    </w:p>
    <w:p w14:paraId="1FA15CF9" w14:textId="77777777" w:rsidR="00EF2A11" w:rsidRDefault="00EF2A11">
      <w:pPr>
        <w:pStyle w:val="TOC1"/>
        <w:rPr>
          <w:rFonts w:asciiTheme="minorHAnsi" w:eastAsiaTheme="minorEastAsia" w:hAnsiTheme="minorHAnsi" w:cstheme="minorBidi"/>
          <w:b w:val="0"/>
          <w:sz w:val="22"/>
          <w:lang w:val="sv-SE"/>
        </w:rPr>
      </w:pPr>
      <w:r w:rsidRPr="00827102">
        <w:t>Observation 2</w:t>
      </w:r>
      <w:r>
        <w:rPr>
          <w:rFonts w:asciiTheme="minorHAnsi" w:eastAsiaTheme="minorEastAsia" w:hAnsiTheme="minorHAnsi" w:cstheme="minorBidi"/>
          <w:b w:val="0"/>
          <w:sz w:val="22"/>
          <w:lang w:val="sv-SE"/>
        </w:rPr>
        <w:tab/>
      </w:r>
      <w:r w:rsidRPr="00827102">
        <w:t>By using a flexible preamble definition including also time and frequency resource, it will be possible to allocate a sufficient number of preambles to indicate the agreed features with preambles.</w:t>
      </w:r>
    </w:p>
    <w:p w14:paraId="38918974" w14:textId="5993B4E3" w:rsidR="008E065E" w:rsidRPr="00777312" w:rsidRDefault="008E065E" w:rsidP="008E065E">
      <w:pPr>
        <w:pStyle w:val="BodyText"/>
        <w:rPr>
          <w:b/>
          <w:lang w:val="en-US"/>
        </w:rPr>
      </w:pPr>
      <w:r>
        <w:rPr>
          <w:b/>
          <w:bCs/>
        </w:rPr>
        <w:fldChar w:fldCharType="end"/>
      </w:r>
    </w:p>
    <w:p w14:paraId="348822C0" w14:textId="6AE4BEE9" w:rsidR="00916250" w:rsidRPr="00777312" w:rsidRDefault="008E065E">
      <w:pPr>
        <w:pStyle w:val="TOC1"/>
        <w:rPr>
          <w:b w:val="0"/>
        </w:rPr>
      </w:pPr>
      <w:r w:rsidRPr="00777312">
        <w:rPr>
          <w:b w:val="0"/>
        </w:rPr>
        <w:t xml:space="preserve">Based on the discussion in section </w:t>
      </w:r>
      <w:r w:rsidRPr="00777312">
        <w:rPr>
          <w:b w:val="0"/>
          <w:highlight w:val="cyan"/>
        </w:rPr>
        <w:fldChar w:fldCharType="begin"/>
      </w:r>
      <w:r w:rsidRPr="00777312">
        <w:rPr>
          <w:b w:val="0"/>
        </w:rPr>
        <w:instrText xml:space="preserve"> REF _Ref178064866 \r \h </w:instrText>
      </w:r>
      <w:r w:rsidR="00916250">
        <w:rPr>
          <w:b w:val="0"/>
          <w:highlight w:val="cyan"/>
        </w:rPr>
        <w:instrText xml:space="preserve"> \* MERGEFORMAT </w:instrText>
      </w:r>
      <w:r w:rsidRPr="00777312">
        <w:rPr>
          <w:b w:val="0"/>
          <w:highlight w:val="cyan"/>
        </w:rPr>
      </w:r>
      <w:r w:rsidRPr="00777312">
        <w:rPr>
          <w:b w:val="0"/>
          <w:highlight w:val="cyan"/>
        </w:rPr>
        <w:fldChar w:fldCharType="separate"/>
      </w:r>
      <w:r w:rsidR="00C92741">
        <w:rPr>
          <w:b w:val="0"/>
        </w:rPr>
        <w:t>2</w:t>
      </w:r>
      <w:r w:rsidRPr="00777312">
        <w:rPr>
          <w:b w:val="0"/>
          <w:highlight w:val="cyan"/>
        </w:rPr>
        <w:fldChar w:fldCharType="end"/>
      </w:r>
      <w:r w:rsidRPr="00777312">
        <w:rPr>
          <w:b w:val="0"/>
        </w:rPr>
        <w:t xml:space="preserve"> we propose the following:</w:t>
      </w:r>
    </w:p>
    <w:p w14:paraId="4C5F8CD3" w14:textId="77777777" w:rsidR="00EF2A11" w:rsidRDefault="008E065E">
      <w:pPr>
        <w:pStyle w:val="TOC1"/>
        <w:rPr>
          <w:rFonts w:asciiTheme="minorHAnsi" w:eastAsiaTheme="minorEastAsia" w:hAnsiTheme="minorHAnsi" w:cstheme="minorBidi"/>
          <w:b w:val="0"/>
          <w:sz w:val="22"/>
          <w:lang w:val="sv-SE"/>
        </w:rPr>
      </w:pPr>
      <w:r>
        <w:rPr>
          <w:b w:val="0"/>
          <w:bCs/>
        </w:rPr>
        <w:fldChar w:fldCharType="begin"/>
      </w:r>
      <w:r w:rsidRPr="00F81067">
        <w:rPr>
          <w:b w:val="0"/>
        </w:rPr>
        <w:instrText xml:space="preserve"> TOC \f \n \p " " \t "Proposal;1" </w:instrText>
      </w:r>
      <w:r>
        <w:rPr>
          <w:b w:val="0"/>
          <w:bCs/>
        </w:rPr>
        <w:fldChar w:fldCharType="separate"/>
      </w:r>
      <w:bookmarkStart w:id="47" w:name="_GoBack"/>
      <w:bookmarkEnd w:id="47"/>
      <w:r w:rsidR="00EF2A11" w:rsidRPr="00742C48">
        <w:t>Proposal 1</w:t>
      </w:r>
      <w:r w:rsidR="00EF2A11">
        <w:rPr>
          <w:rFonts w:asciiTheme="minorHAnsi" w:eastAsiaTheme="minorEastAsia" w:hAnsiTheme="minorHAnsi" w:cstheme="minorBidi"/>
          <w:b w:val="0"/>
          <w:sz w:val="22"/>
          <w:lang w:val="sv-SE"/>
        </w:rPr>
        <w:tab/>
      </w:r>
      <w:r w:rsidR="00EF2A11" w:rsidRPr="00742C48">
        <w:t>Define the RA-RNTI by RA-RNTI = 1 + t_id + 80*SSB_index + 80*64 * f_id, where t_id is the slot, SSB_index is the index indicated by the preamble and f_id is the index of the specified PRACH.</w:t>
      </w:r>
    </w:p>
    <w:p w14:paraId="08AA4E20" w14:textId="77777777" w:rsidR="00EF2A11" w:rsidRDefault="00EF2A11">
      <w:pPr>
        <w:pStyle w:val="TOC1"/>
        <w:rPr>
          <w:rFonts w:asciiTheme="minorHAnsi" w:eastAsiaTheme="minorEastAsia" w:hAnsiTheme="minorHAnsi" w:cstheme="minorBidi"/>
          <w:b w:val="0"/>
          <w:sz w:val="22"/>
          <w:lang w:val="sv-SE"/>
        </w:rPr>
      </w:pPr>
      <w:r w:rsidRPr="00742C48">
        <w:t>Proposal 2</w:t>
      </w:r>
      <w:r>
        <w:rPr>
          <w:rFonts w:asciiTheme="minorHAnsi" w:eastAsiaTheme="minorEastAsia" w:hAnsiTheme="minorHAnsi" w:cstheme="minorBidi"/>
          <w:b w:val="0"/>
          <w:sz w:val="22"/>
          <w:lang w:val="sv-SE"/>
        </w:rPr>
        <w:tab/>
      </w:r>
      <w:r w:rsidRPr="00742C48">
        <w:t>As in LTE, the RAPID field in the RAR sub header has 6 bits.</w:t>
      </w:r>
    </w:p>
    <w:p w14:paraId="0883E271" w14:textId="77777777" w:rsidR="00EF2A11" w:rsidRDefault="00EF2A11">
      <w:pPr>
        <w:pStyle w:val="TOC1"/>
        <w:rPr>
          <w:rFonts w:asciiTheme="minorHAnsi" w:eastAsiaTheme="minorEastAsia" w:hAnsiTheme="minorHAnsi" w:cstheme="minorBidi"/>
          <w:b w:val="0"/>
          <w:sz w:val="22"/>
          <w:lang w:val="sv-SE"/>
        </w:rPr>
      </w:pPr>
      <w:r w:rsidRPr="00742C48">
        <w:t>Proposal 3</w:t>
      </w:r>
      <w:r>
        <w:rPr>
          <w:rFonts w:asciiTheme="minorHAnsi" w:eastAsiaTheme="minorEastAsia" w:hAnsiTheme="minorHAnsi" w:cstheme="minorBidi"/>
          <w:b w:val="0"/>
          <w:sz w:val="22"/>
          <w:lang w:val="sv-SE"/>
        </w:rPr>
        <w:tab/>
      </w:r>
      <w:r w:rsidRPr="00742C48">
        <w:t>The i</w:t>
      </w:r>
      <w:r w:rsidRPr="00742C48">
        <w:rPr>
          <w:vertAlign w:val="superscript"/>
        </w:rPr>
        <w:t>th</w:t>
      </w:r>
      <w:r w:rsidRPr="00742C48">
        <w:t xml:space="preserve"> preamble in every SSB has the same RAPID in the RAR sub header.</w:t>
      </w:r>
    </w:p>
    <w:p w14:paraId="4692C119" w14:textId="77777777" w:rsidR="00EF2A11" w:rsidRDefault="00EF2A11">
      <w:pPr>
        <w:pStyle w:val="TOC1"/>
        <w:rPr>
          <w:rFonts w:asciiTheme="minorHAnsi" w:eastAsiaTheme="minorEastAsia" w:hAnsiTheme="minorHAnsi" w:cstheme="minorBidi"/>
          <w:b w:val="0"/>
          <w:sz w:val="22"/>
          <w:lang w:val="sv-SE"/>
        </w:rPr>
      </w:pPr>
      <w:r w:rsidRPr="00742C48">
        <w:t>Proposal 4</w:t>
      </w:r>
      <w:r>
        <w:rPr>
          <w:rFonts w:asciiTheme="minorHAnsi" w:eastAsiaTheme="minorEastAsia" w:hAnsiTheme="minorHAnsi" w:cstheme="minorBidi"/>
          <w:b w:val="0"/>
          <w:sz w:val="22"/>
          <w:lang w:val="sv-SE"/>
        </w:rPr>
        <w:tab/>
      </w:r>
      <w:r w:rsidRPr="00742C48">
        <w:t>For a given SSB, the preamble id is derived from the RAPID as the preamble id which satisfies: RAPID = preamble id Modulo(Number of preambles per SSB)</w:t>
      </w:r>
    </w:p>
    <w:p w14:paraId="0682B96E" w14:textId="68136D93" w:rsidR="008E065E" w:rsidRPr="00777312" w:rsidRDefault="008E065E" w:rsidP="008E065E">
      <w:pPr>
        <w:rPr>
          <w:b/>
          <w:lang w:val="en-US"/>
        </w:rPr>
      </w:pPr>
      <w:r>
        <w:rPr>
          <w:b/>
          <w:bCs/>
        </w:rPr>
        <w:fldChar w:fldCharType="end"/>
      </w:r>
    </w:p>
    <w:p w14:paraId="0B366EDE" w14:textId="77777777" w:rsidR="00F507D1" w:rsidRPr="00CE0424" w:rsidRDefault="00F507D1" w:rsidP="00CE0424">
      <w:pPr>
        <w:pStyle w:val="Heading1"/>
      </w:pPr>
      <w:bookmarkStart w:id="48" w:name="_In-sequence_SDU_delivery"/>
      <w:bookmarkEnd w:id="48"/>
      <w:r w:rsidRPr="00CE0424">
        <w:t>References</w:t>
      </w:r>
    </w:p>
    <w:p w14:paraId="4247E056" w14:textId="0ACAF59B" w:rsidR="005F3025" w:rsidRPr="00A91CAF" w:rsidRDefault="00F029F2" w:rsidP="00311702">
      <w:pPr>
        <w:pStyle w:val="Reference"/>
        <w:rPr>
          <w:lang w:val="en-US"/>
        </w:rPr>
      </w:pPr>
      <w:bookmarkStart w:id="49" w:name="_Ref492558462"/>
      <w:bookmarkStart w:id="50" w:name="_Ref174151459"/>
      <w:bookmarkStart w:id="51" w:name="_Ref189809556"/>
      <w:r w:rsidRPr="00A91CAF">
        <w:rPr>
          <w:lang w:val="en-US"/>
        </w:rPr>
        <w:t>R1-1714043</w:t>
      </w:r>
      <w:r w:rsidR="005F3025" w:rsidRPr="00A91CAF">
        <w:rPr>
          <w:lang w:val="en-US"/>
        </w:rPr>
        <w:t xml:space="preserve">, </w:t>
      </w:r>
      <w:r w:rsidRPr="00A91CAF">
        <w:rPr>
          <w:lang w:val="en-US"/>
        </w:rPr>
        <w:t>4-step random access procedure</w:t>
      </w:r>
      <w:r w:rsidR="005F3025" w:rsidRPr="00A91CAF">
        <w:rPr>
          <w:lang w:val="en-US"/>
        </w:rPr>
        <w:t xml:space="preserve">, </w:t>
      </w:r>
      <w:r w:rsidRPr="00A91CAF">
        <w:rPr>
          <w:lang w:val="en-US"/>
        </w:rPr>
        <w:t>Ericsson</w:t>
      </w:r>
      <w:r w:rsidR="005F3025" w:rsidRPr="00A91CAF">
        <w:rPr>
          <w:lang w:val="en-US"/>
        </w:rPr>
        <w:t xml:space="preserve">, </w:t>
      </w:r>
      <w:r w:rsidRPr="00A91CAF">
        <w:rPr>
          <w:lang w:val="en-US"/>
        </w:rPr>
        <w:t>3GPP TSG RAN WG1 Meeting #90</w:t>
      </w:r>
      <w:r w:rsidR="005F3025" w:rsidRPr="00A91CAF">
        <w:rPr>
          <w:lang w:val="en-US"/>
        </w:rPr>
        <w:t xml:space="preserve">, </w:t>
      </w:r>
      <w:r w:rsidRPr="00A91CAF">
        <w:rPr>
          <w:lang w:val="en-US"/>
        </w:rPr>
        <w:t>Prague, Czech Republic, 21st – 25th August 2017</w:t>
      </w:r>
      <w:bookmarkEnd w:id="49"/>
    </w:p>
    <w:bookmarkEnd w:id="50"/>
    <w:bookmarkEnd w:id="51"/>
    <w:p w14:paraId="0C432DD5" w14:textId="77777777" w:rsidR="00A91CAF" w:rsidRPr="00A91CAF" w:rsidRDefault="00A91CAF" w:rsidP="00A91CAF">
      <w:pPr>
        <w:pStyle w:val="Reference"/>
        <w:overflowPunct w:val="0"/>
        <w:autoSpaceDE w:val="0"/>
        <w:autoSpaceDN w:val="0"/>
        <w:adjustRightInd w:val="0"/>
        <w:spacing w:after="120" w:line="240" w:lineRule="auto"/>
        <w:jc w:val="both"/>
        <w:textAlignment w:val="baseline"/>
        <w:rPr>
          <w:lang w:val="en-US"/>
        </w:rPr>
      </w:pPr>
      <w:r w:rsidRPr="00A91CAF">
        <w:rPr>
          <w:lang w:val="en-US"/>
        </w:rPr>
        <w:t>R2-1711443, "Text proposal for Random Access", Ericsson, RAN2#99bis, Prague, Czech Republic, 9th – 13th October 2017</w:t>
      </w:r>
    </w:p>
    <w:p w14:paraId="0260081F" w14:textId="535D092E" w:rsidR="003A7EF3" w:rsidRPr="00777312" w:rsidRDefault="003A7EF3" w:rsidP="00CE0424">
      <w:pPr>
        <w:pStyle w:val="BodyText"/>
        <w:rPr>
          <w:lang w:val="en-US"/>
        </w:rPr>
      </w:pPr>
    </w:p>
    <w:sectPr w:rsidR="003A7EF3" w:rsidRPr="0077731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77E84" w14:textId="77777777" w:rsidR="00B26C41" w:rsidRDefault="00B26C41">
      <w:r>
        <w:separator/>
      </w:r>
    </w:p>
  </w:endnote>
  <w:endnote w:type="continuationSeparator" w:id="0">
    <w:p w14:paraId="77BA6D37" w14:textId="77777777" w:rsidR="00B26C41" w:rsidRDefault="00B26C41">
      <w:r>
        <w:continuationSeparator/>
      </w:r>
    </w:p>
  </w:endnote>
  <w:endnote w:type="continuationNotice" w:id="1">
    <w:p w14:paraId="10A12EC5" w14:textId="77777777" w:rsidR="00B26C41" w:rsidRDefault="00B26C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BD79B71" w:rsidR="00E72014" w:rsidRDefault="00E720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2A1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2A1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5404E" w14:textId="77777777" w:rsidR="00B26C41" w:rsidRDefault="00B26C41">
      <w:r>
        <w:separator/>
      </w:r>
    </w:p>
  </w:footnote>
  <w:footnote w:type="continuationSeparator" w:id="0">
    <w:p w14:paraId="138F852A" w14:textId="77777777" w:rsidR="00B26C41" w:rsidRDefault="00B26C41">
      <w:r>
        <w:continuationSeparator/>
      </w:r>
    </w:p>
  </w:footnote>
  <w:footnote w:type="continuationNotice" w:id="1">
    <w:p w14:paraId="4DFCF878" w14:textId="77777777" w:rsidR="00B26C41" w:rsidRDefault="00B26C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E72014" w:rsidRDefault="00E720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A65661"/>
    <w:multiLevelType w:val="hybridMultilevel"/>
    <w:tmpl w:val="266679E4"/>
    <w:lvl w:ilvl="0" w:tplc="E24ABC2A">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7D31DF"/>
    <w:multiLevelType w:val="hybridMultilevel"/>
    <w:tmpl w:val="C4348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B20D74"/>
    <w:multiLevelType w:val="hybridMultilevel"/>
    <w:tmpl w:val="7B5E3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7"/>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6"/>
  </w:num>
  <w:num w:numId="17">
    <w:abstractNumId w:val="11"/>
  </w:num>
  <w:num w:numId="18">
    <w:abstractNumId w:val="14"/>
  </w:num>
  <w:num w:numId="19">
    <w:abstractNumId w:val="21"/>
  </w:num>
  <w:num w:numId="20">
    <w:abstractNumId w:val="5"/>
  </w:num>
  <w:num w:numId="21">
    <w:abstractNumId w:val="10"/>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42A5"/>
    <w:rsid w:val="0002564D"/>
    <w:rsid w:val="00025ECA"/>
    <w:rsid w:val="000325B8"/>
    <w:rsid w:val="00034C15"/>
    <w:rsid w:val="00036BA1"/>
    <w:rsid w:val="000422E2"/>
    <w:rsid w:val="00042818"/>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03D"/>
    <w:rsid w:val="00116765"/>
    <w:rsid w:val="001219F5"/>
    <w:rsid w:val="00121A20"/>
    <w:rsid w:val="00121DAA"/>
    <w:rsid w:val="0012377F"/>
    <w:rsid w:val="00124314"/>
    <w:rsid w:val="00126B4A"/>
    <w:rsid w:val="00132FD0"/>
    <w:rsid w:val="00133492"/>
    <w:rsid w:val="001344C0"/>
    <w:rsid w:val="001346FA"/>
    <w:rsid w:val="00135252"/>
    <w:rsid w:val="00137AB5"/>
    <w:rsid w:val="00137F0B"/>
    <w:rsid w:val="00151E23"/>
    <w:rsid w:val="001526E0"/>
    <w:rsid w:val="001551B5"/>
    <w:rsid w:val="001659C1"/>
    <w:rsid w:val="00173A8E"/>
    <w:rsid w:val="00177795"/>
    <w:rsid w:val="0018143F"/>
    <w:rsid w:val="00190AC1"/>
    <w:rsid w:val="001920BD"/>
    <w:rsid w:val="0019341A"/>
    <w:rsid w:val="001964E1"/>
    <w:rsid w:val="001970EC"/>
    <w:rsid w:val="00197DF9"/>
    <w:rsid w:val="001A1987"/>
    <w:rsid w:val="001A2564"/>
    <w:rsid w:val="001A6173"/>
    <w:rsid w:val="001A6CBA"/>
    <w:rsid w:val="001B0B8C"/>
    <w:rsid w:val="001B0D97"/>
    <w:rsid w:val="001B5A5D"/>
    <w:rsid w:val="001C1CE5"/>
    <w:rsid w:val="001C3D2A"/>
    <w:rsid w:val="001D51BA"/>
    <w:rsid w:val="001D6342"/>
    <w:rsid w:val="001D6D53"/>
    <w:rsid w:val="001E58E2"/>
    <w:rsid w:val="001E7AED"/>
    <w:rsid w:val="001F30FF"/>
    <w:rsid w:val="001F3916"/>
    <w:rsid w:val="001F3BBE"/>
    <w:rsid w:val="001F54C5"/>
    <w:rsid w:val="001F662C"/>
    <w:rsid w:val="001F6AD8"/>
    <w:rsid w:val="001F7074"/>
    <w:rsid w:val="0020021F"/>
    <w:rsid w:val="00200490"/>
    <w:rsid w:val="00201F3A"/>
    <w:rsid w:val="00203F96"/>
    <w:rsid w:val="002069B2"/>
    <w:rsid w:val="00207FA3"/>
    <w:rsid w:val="00214DA8"/>
    <w:rsid w:val="00215423"/>
    <w:rsid w:val="002158FA"/>
    <w:rsid w:val="00215F29"/>
    <w:rsid w:val="00220600"/>
    <w:rsid w:val="002224DB"/>
    <w:rsid w:val="00223FCB"/>
    <w:rsid w:val="002252C3"/>
    <w:rsid w:val="00225C54"/>
    <w:rsid w:val="00230765"/>
    <w:rsid w:val="002319E4"/>
    <w:rsid w:val="00235632"/>
    <w:rsid w:val="00235872"/>
    <w:rsid w:val="00241559"/>
    <w:rsid w:val="002435B3"/>
    <w:rsid w:val="002458EB"/>
    <w:rsid w:val="002500C8"/>
    <w:rsid w:val="00254E00"/>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E7C"/>
    <w:rsid w:val="002C41E6"/>
    <w:rsid w:val="002D071A"/>
    <w:rsid w:val="002D34B2"/>
    <w:rsid w:val="002D7637"/>
    <w:rsid w:val="002E17F2"/>
    <w:rsid w:val="002E4E56"/>
    <w:rsid w:val="002E7CAE"/>
    <w:rsid w:val="002F0529"/>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23A2"/>
    <w:rsid w:val="00334579"/>
    <w:rsid w:val="00335858"/>
    <w:rsid w:val="00336BDA"/>
    <w:rsid w:val="00342BD7"/>
    <w:rsid w:val="00343A07"/>
    <w:rsid w:val="00346DB5"/>
    <w:rsid w:val="003477B1"/>
    <w:rsid w:val="00353B45"/>
    <w:rsid w:val="0035491B"/>
    <w:rsid w:val="00357380"/>
    <w:rsid w:val="003602D9"/>
    <w:rsid w:val="003604CE"/>
    <w:rsid w:val="00370E47"/>
    <w:rsid w:val="003742AC"/>
    <w:rsid w:val="00377CE1"/>
    <w:rsid w:val="00385BF0"/>
    <w:rsid w:val="003876F9"/>
    <w:rsid w:val="003939FF"/>
    <w:rsid w:val="00394E28"/>
    <w:rsid w:val="003A2223"/>
    <w:rsid w:val="003A26EE"/>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FCF"/>
    <w:rsid w:val="003E55E4"/>
    <w:rsid w:val="003E74E3"/>
    <w:rsid w:val="003F05C7"/>
    <w:rsid w:val="003F181D"/>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201B"/>
    <w:rsid w:val="004669E2"/>
    <w:rsid w:val="00470C31"/>
    <w:rsid w:val="00471E2B"/>
    <w:rsid w:val="004734D0"/>
    <w:rsid w:val="0047556B"/>
    <w:rsid w:val="00477768"/>
    <w:rsid w:val="00492BC5"/>
    <w:rsid w:val="004964F1"/>
    <w:rsid w:val="004A16BC"/>
    <w:rsid w:val="004A2B94"/>
    <w:rsid w:val="004B7C0C"/>
    <w:rsid w:val="004C2DB9"/>
    <w:rsid w:val="004C3898"/>
    <w:rsid w:val="004D15D2"/>
    <w:rsid w:val="004D36B1"/>
    <w:rsid w:val="004D7EBD"/>
    <w:rsid w:val="004E2680"/>
    <w:rsid w:val="004E28F9"/>
    <w:rsid w:val="004E462E"/>
    <w:rsid w:val="004E56DC"/>
    <w:rsid w:val="004E76F4"/>
    <w:rsid w:val="004F0B4E"/>
    <w:rsid w:val="004F0B6C"/>
    <w:rsid w:val="004F2078"/>
    <w:rsid w:val="004F4DA3"/>
    <w:rsid w:val="00502314"/>
    <w:rsid w:val="00506557"/>
    <w:rsid w:val="0050677A"/>
    <w:rsid w:val="005108D8"/>
    <w:rsid w:val="005116F9"/>
    <w:rsid w:val="005153A7"/>
    <w:rsid w:val="005219CF"/>
    <w:rsid w:val="005339AB"/>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2465"/>
    <w:rsid w:val="005B35D7"/>
    <w:rsid w:val="005B392A"/>
    <w:rsid w:val="005B3AA3"/>
    <w:rsid w:val="005B591A"/>
    <w:rsid w:val="005B6F83"/>
    <w:rsid w:val="005C4565"/>
    <w:rsid w:val="005C74FB"/>
    <w:rsid w:val="005D1602"/>
    <w:rsid w:val="005D5755"/>
    <w:rsid w:val="005D7CB1"/>
    <w:rsid w:val="005E385F"/>
    <w:rsid w:val="005E5B81"/>
    <w:rsid w:val="005F2CB1"/>
    <w:rsid w:val="005F3025"/>
    <w:rsid w:val="005F618C"/>
    <w:rsid w:val="005F70BD"/>
    <w:rsid w:val="00600BE0"/>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CA6"/>
    <w:rsid w:val="006C5EC9"/>
    <w:rsid w:val="006C6059"/>
    <w:rsid w:val="006C7522"/>
    <w:rsid w:val="006D6F08"/>
    <w:rsid w:val="006E062C"/>
    <w:rsid w:val="006E28B7"/>
    <w:rsid w:val="006E3310"/>
    <w:rsid w:val="006E4E39"/>
    <w:rsid w:val="006E565E"/>
    <w:rsid w:val="006E673D"/>
    <w:rsid w:val="006E74F5"/>
    <w:rsid w:val="006E7D3B"/>
    <w:rsid w:val="006F1B70"/>
    <w:rsid w:val="006F341D"/>
    <w:rsid w:val="006F3CDE"/>
    <w:rsid w:val="006F54EF"/>
    <w:rsid w:val="006F58D4"/>
    <w:rsid w:val="0070346E"/>
    <w:rsid w:val="00704EDB"/>
    <w:rsid w:val="00706101"/>
    <w:rsid w:val="00707072"/>
    <w:rsid w:val="00707D61"/>
    <w:rsid w:val="00712287"/>
    <w:rsid w:val="00712772"/>
    <w:rsid w:val="007148D3"/>
    <w:rsid w:val="00715B9A"/>
    <w:rsid w:val="007175FD"/>
    <w:rsid w:val="00726EA6"/>
    <w:rsid w:val="00727208"/>
    <w:rsid w:val="00727680"/>
    <w:rsid w:val="00732977"/>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6D8"/>
    <w:rsid w:val="00776971"/>
    <w:rsid w:val="00777312"/>
    <w:rsid w:val="0078177E"/>
    <w:rsid w:val="0078304C"/>
    <w:rsid w:val="00783673"/>
    <w:rsid w:val="00785490"/>
    <w:rsid w:val="00790F28"/>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5E6"/>
    <w:rsid w:val="007D7526"/>
    <w:rsid w:val="007E4610"/>
    <w:rsid w:val="007E4715"/>
    <w:rsid w:val="007E505B"/>
    <w:rsid w:val="007E7091"/>
    <w:rsid w:val="007E7A7B"/>
    <w:rsid w:val="007F66AB"/>
    <w:rsid w:val="00803FAE"/>
    <w:rsid w:val="0080605F"/>
    <w:rsid w:val="00807786"/>
    <w:rsid w:val="00811FCB"/>
    <w:rsid w:val="008158D6"/>
    <w:rsid w:val="00817196"/>
    <w:rsid w:val="008235DB"/>
    <w:rsid w:val="00824AB4"/>
    <w:rsid w:val="00824BCE"/>
    <w:rsid w:val="00825C42"/>
    <w:rsid w:val="00825D25"/>
    <w:rsid w:val="00827D6F"/>
    <w:rsid w:val="00827F28"/>
    <w:rsid w:val="00831A42"/>
    <w:rsid w:val="008376AC"/>
    <w:rsid w:val="008444E8"/>
    <w:rsid w:val="00844E80"/>
    <w:rsid w:val="00846FE7"/>
    <w:rsid w:val="00854F97"/>
    <w:rsid w:val="00856911"/>
    <w:rsid w:val="008661B7"/>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0DE"/>
    <w:rsid w:val="008F1EAB"/>
    <w:rsid w:val="008F33DC"/>
    <w:rsid w:val="008F477F"/>
    <w:rsid w:val="00902350"/>
    <w:rsid w:val="0090336B"/>
    <w:rsid w:val="009053AA"/>
    <w:rsid w:val="00906939"/>
    <w:rsid w:val="00910B7D"/>
    <w:rsid w:val="00911DFB"/>
    <w:rsid w:val="009139D9"/>
    <w:rsid w:val="00914AD8"/>
    <w:rsid w:val="00914DB8"/>
    <w:rsid w:val="00916079"/>
    <w:rsid w:val="00916250"/>
    <w:rsid w:val="00917CE9"/>
    <w:rsid w:val="00917D89"/>
    <w:rsid w:val="00920BF2"/>
    <w:rsid w:val="00922010"/>
    <w:rsid w:val="0092524C"/>
    <w:rsid w:val="00931BD9"/>
    <w:rsid w:val="0093547B"/>
    <w:rsid w:val="009368F3"/>
    <w:rsid w:val="00941636"/>
    <w:rsid w:val="00943742"/>
    <w:rsid w:val="00945C05"/>
    <w:rsid w:val="0094688D"/>
    <w:rsid w:val="00946945"/>
    <w:rsid w:val="00947713"/>
    <w:rsid w:val="00950DE7"/>
    <w:rsid w:val="00953920"/>
    <w:rsid w:val="00953D47"/>
    <w:rsid w:val="00953DC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17B"/>
    <w:rsid w:val="009A462D"/>
    <w:rsid w:val="009A5CBA"/>
    <w:rsid w:val="009B1F30"/>
    <w:rsid w:val="009B3AC2"/>
    <w:rsid w:val="009B4DF4"/>
    <w:rsid w:val="009B564E"/>
    <w:rsid w:val="009B7E87"/>
    <w:rsid w:val="009C2A0C"/>
    <w:rsid w:val="009C403E"/>
    <w:rsid w:val="009D4FF0"/>
    <w:rsid w:val="009D703C"/>
    <w:rsid w:val="009D718F"/>
    <w:rsid w:val="009E068F"/>
    <w:rsid w:val="009E14E0"/>
    <w:rsid w:val="009E35DB"/>
    <w:rsid w:val="009E47A3"/>
    <w:rsid w:val="009E6710"/>
    <w:rsid w:val="009F08F3"/>
    <w:rsid w:val="009F344F"/>
    <w:rsid w:val="00A048A8"/>
    <w:rsid w:val="00A04F49"/>
    <w:rsid w:val="00A13E54"/>
    <w:rsid w:val="00A17F63"/>
    <w:rsid w:val="00A2052C"/>
    <w:rsid w:val="00A2193B"/>
    <w:rsid w:val="00A2351A"/>
    <w:rsid w:val="00A264A9"/>
    <w:rsid w:val="00A27785"/>
    <w:rsid w:val="00A30187"/>
    <w:rsid w:val="00A343EA"/>
    <w:rsid w:val="00A3448A"/>
    <w:rsid w:val="00A36297"/>
    <w:rsid w:val="00A41E2B"/>
    <w:rsid w:val="00A45B74"/>
    <w:rsid w:val="00A51CAF"/>
    <w:rsid w:val="00A52E1D"/>
    <w:rsid w:val="00A61499"/>
    <w:rsid w:val="00A62A77"/>
    <w:rsid w:val="00A63483"/>
    <w:rsid w:val="00A657D7"/>
    <w:rsid w:val="00A660AC"/>
    <w:rsid w:val="00A66F55"/>
    <w:rsid w:val="00A67E6C"/>
    <w:rsid w:val="00A71B99"/>
    <w:rsid w:val="00A739D0"/>
    <w:rsid w:val="00A761D4"/>
    <w:rsid w:val="00A77EC4"/>
    <w:rsid w:val="00A91CAF"/>
    <w:rsid w:val="00A92879"/>
    <w:rsid w:val="00A9442A"/>
    <w:rsid w:val="00AA016F"/>
    <w:rsid w:val="00AA1ED6"/>
    <w:rsid w:val="00AA51D6"/>
    <w:rsid w:val="00AB0BC8"/>
    <w:rsid w:val="00AB11CA"/>
    <w:rsid w:val="00AB14D9"/>
    <w:rsid w:val="00AB4AB8"/>
    <w:rsid w:val="00AB655E"/>
    <w:rsid w:val="00AB707B"/>
    <w:rsid w:val="00AC007F"/>
    <w:rsid w:val="00AC2ECD"/>
    <w:rsid w:val="00AC3119"/>
    <w:rsid w:val="00AC4483"/>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C41"/>
    <w:rsid w:val="00B2763F"/>
    <w:rsid w:val="00B27AAC"/>
    <w:rsid w:val="00B30929"/>
    <w:rsid w:val="00B372AA"/>
    <w:rsid w:val="00B40445"/>
    <w:rsid w:val="00B41888"/>
    <w:rsid w:val="00B45A52"/>
    <w:rsid w:val="00B46175"/>
    <w:rsid w:val="00B6188F"/>
    <w:rsid w:val="00B664C7"/>
    <w:rsid w:val="00B71B30"/>
    <w:rsid w:val="00B739F6"/>
    <w:rsid w:val="00B755D2"/>
    <w:rsid w:val="00B81A6C"/>
    <w:rsid w:val="00B85DE5"/>
    <w:rsid w:val="00B90F73"/>
    <w:rsid w:val="00B93B59"/>
    <w:rsid w:val="00B9406A"/>
    <w:rsid w:val="00B9664F"/>
    <w:rsid w:val="00BA2280"/>
    <w:rsid w:val="00BA2A08"/>
    <w:rsid w:val="00BA56D2"/>
    <w:rsid w:val="00BA76E0"/>
    <w:rsid w:val="00BB2A25"/>
    <w:rsid w:val="00BB51E9"/>
    <w:rsid w:val="00BC0FDC"/>
    <w:rsid w:val="00BC3053"/>
    <w:rsid w:val="00BC4D2E"/>
    <w:rsid w:val="00BD3952"/>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705"/>
    <w:rsid w:val="00C24345"/>
    <w:rsid w:val="00C279B5"/>
    <w:rsid w:val="00C27C45"/>
    <w:rsid w:val="00C3719D"/>
    <w:rsid w:val="00C54995"/>
    <w:rsid w:val="00C54D41"/>
    <w:rsid w:val="00C60783"/>
    <w:rsid w:val="00C64672"/>
    <w:rsid w:val="00C65E7A"/>
    <w:rsid w:val="00C70697"/>
    <w:rsid w:val="00C72EF4"/>
    <w:rsid w:val="00C75D2F"/>
    <w:rsid w:val="00C767BE"/>
    <w:rsid w:val="00C76E3C"/>
    <w:rsid w:val="00C81568"/>
    <w:rsid w:val="00C9027A"/>
    <w:rsid w:val="00C9068E"/>
    <w:rsid w:val="00C92741"/>
    <w:rsid w:val="00C93C4B"/>
    <w:rsid w:val="00C944AB"/>
    <w:rsid w:val="00C95B40"/>
    <w:rsid w:val="00CA1ED8"/>
    <w:rsid w:val="00CB1F63"/>
    <w:rsid w:val="00CB33AE"/>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B57"/>
    <w:rsid w:val="00D10249"/>
    <w:rsid w:val="00D1121A"/>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273C"/>
    <w:rsid w:val="00D652B5"/>
    <w:rsid w:val="00D66155"/>
    <w:rsid w:val="00D708B0"/>
    <w:rsid w:val="00D77B1D"/>
    <w:rsid w:val="00D8021F"/>
    <w:rsid w:val="00D80383"/>
    <w:rsid w:val="00D823C6"/>
    <w:rsid w:val="00D85729"/>
    <w:rsid w:val="00D86CA3"/>
    <w:rsid w:val="00D86D35"/>
    <w:rsid w:val="00D871CE"/>
    <w:rsid w:val="00D9196D"/>
    <w:rsid w:val="00D92982"/>
    <w:rsid w:val="00DA305E"/>
    <w:rsid w:val="00DA5417"/>
    <w:rsid w:val="00DA56E8"/>
    <w:rsid w:val="00DB0A9F"/>
    <w:rsid w:val="00DB377D"/>
    <w:rsid w:val="00DC133C"/>
    <w:rsid w:val="00DC2D36"/>
    <w:rsid w:val="00DC53EF"/>
    <w:rsid w:val="00DE007D"/>
    <w:rsid w:val="00DE5608"/>
    <w:rsid w:val="00DE58D0"/>
    <w:rsid w:val="00DE654F"/>
    <w:rsid w:val="00DF0B6E"/>
    <w:rsid w:val="00DF15E0"/>
    <w:rsid w:val="00DF37A0"/>
    <w:rsid w:val="00DF7ECA"/>
    <w:rsid w:val="00E10D1D"/>
    <w:rsid w:val="00E110E7"/>
    <w:rsid w:val="00E11B20"/>
    <w:rsid w:val="00E17FA2"/>
    <w:rsid w:val="00E20CDF"/>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5C9"/>
    <w:rsid w:val="00E53B75"/>
    <w:rsid w:val="00E54E3B"/>
    <w:rsid w:val="00E57565"/>
    <w:rsid w:val="00E601A2"/>
    <w:rsid w:val="00E63838"/>
    <w:rsid w:val="00E64434"/>
    <w:rsid w:val="00E67C51"/>
    <w:rsid w:val="00E72014"/>
    <w:rsid w:val="00E72EFC"/>
    <w:rsid w:val="00E758EC"/>
    <w:rsid w:val="00E764C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2A11"/>
    <w:rsid w:val="00EF5787"/>
    <w:rsid w:val="00EF60D0"/>
    <w:rsid w:val="00F029F2"/>
    <w:rsid w:val="00F0528D"/>
    <w:rsid w:val="00F06C67"/>
    <w:rsid w:val="00F06DFD"/>
    <w:rsid w:val="00F071D1"/>
    <w:rsid w:val="00F07533"/>
    <w:rsid w:val="00F10629"/>
    <w:rsid w:val="00F15FA5"/>
    <w:rsid w:val="00F20539"/>
    <w:rsid w:val="00F209B7"/>
    <w:rsid w:val="00F2376F"/>
    <w:rsid w:val="00F243D8"/>
    <w:rsid w:val="00F30828"/>
    <w:rsid w:val="00F313D6"/>
    <w:rsid w:val="00F40F0C"/>
    <w:rsid w:val="00F473D2"/>
    <w:rsid w:val="00F4766C"/>
    <w:rsid w:val="00F507D1"/>
    <w:rsid w:val="00F519CE"/>
    <w:rsid w:val="00F51ADA"/>
    <w:rsid w:val="00F607C5"/>
    <w:rsid w:val="00F60DEA"/>
    <w:rsid w:val="00F6302A"/>
    <w:rsid w:val="00F64C2B"/>
    <w:rsid w:val="00F64F7C"/>
    <w:rsid w:val="00F651BE"/>
    <w:rsid w:val="00F67F53"/>
    <w:rsid w:val="00F703BE"/>
    <w:rsid w:val="00F71F69"/>
    <w:rsid w:val="00F72B72"/>
    <w:rsid w:val="00F74BB9"/>
    <w:rsid w:val="00F75582"/>
    <w:rsid w:val="00F76EFA"/>
    <w:rsid w:val="00F804BE"/>
    <w:rsid w:val="00F81067"/>
    <w:rsid w:val="00F817CE"/>
    <w:rsid w:val="00F8456C"/>
    <w:rsid w:val="00F859D8"/>
    <w:rsid w:val="00F868F5"/>
    <w:rsid w:val="00F9056A"/>
    <w:rsid w:val="00F9075A"/>
    <w:rsid w:val="00F90F8D"/>
    <w:rsid w:val="00F92782"/>
    <w:rsid w:val="00F93AA9"/>
    <w:rsid w:val="00F96985"/>
    <w:rsid w:val="00F97838"/>
    <w:rsid w:val="00FA2BB3"/>
    <w:rsid w:val="00FA77EA"/>
    <w:rsid w:val="00FB4C80"/>
    <w:rsid w:val="00FB6A6A"/>
    <w:rsid w:val="00FC7429"/>
    <w:rsid w:val="00FD07F6"/>
    <w:rsid w:val="00FD09BF"/>
    <w:rsid w:val="00FD1EC8"/>
    <w:rsid w:val="00FD47ED"/>
    <w:rsid w:val="00FD74DB"/>
    <w:rsid w:val="00FD7660"/>
    <w:rsid w:val="00FE0655"/>
    <w:rsid w:val="00FE2365"/>
    <w:rsid w:val="00FE387F"/>
    <w:rsid w:val="00FE4C7B"/>
    <w:rsid w:val="00FE7336"/>
    <w:rsid w:val="00FE787C"/>
    <w:rsid w:val="00FF45A5"/>
    <w:rsid w:val="00FF511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15:docId w15:val="{492FD675-0811-400C-879E-DCA822AF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2A11"/>
    <w:pPr>
      <w:spacing w:after="160" w:line="259" w:lineRule="auto"/>
    </w:pPr>
    <w:rPr>
      <w:rFonts w:ascii="Arial" w:eastAsiaTheme="minorEastAsia" w:hAnsi="Arial" w:cstheme="minorBidi"/>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EF2A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2A1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uiPriority w:val="99"/>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1F3BBE"/>
    <w:pPr>
      <w:spacing w:after="180"/>
    </w:pPr>
    <w:rPr>
      <w:lang w:val="en-US"/>
    </w:r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aliases w:val="left"/>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uiPriority w:val="99"/>
    <w:rsid w:val="00827F28"/>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827F28"/>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Cs w:val="20"/>
      <w:lang w:val="en-GB"/>
    </w:rPr>
  </w:style>
  <w:style w:type="character" w:customStyle="1" w:styleId="IvDbodytextChar">
    <w:name w:val="IvD bodytext Char"/>
    <w:basedOn w:val="BodyTextChar"/>
    <w:link w:val="IvDbodytext"/>
    <w:rsid w:val="00827F28"/>
    <w:rPr>
      <w:rFonts w:asciiTheme="minorHAnsi" w:hAnsiTheme="minorHAnsi"/>
      <w:spacing w:val="2"/>
      <w:sz w:val="22"/>
      <w:lang w:val="en-GB" w:eastAsia="zh-CN"/>
    </w:rPr>
  </w:style>
  <w:style w:type="character" w:customStyle="1" w:styleId="TFChar">
    <w:name w:val="TF Char"/>
    <w:link w:val="TF"/>
    <w:rsid w:val="007F66AB"/>
    <w:rPr>
      <w:rFonts w:asciiTheme="minorHAnsi" w:eastAsiaTheme="minorHAnsi" w:hAnsiTheme="minorHAnsi" w:cstheme="minorBidi"/>
      <w:b/>
      <w:sz w:val="22"/>
      <w:szCs w:val="22"/>
      <w:lang w:val="sv-SE"/>
    </w:rPr>
  </w:style>
  <w:style w:type="character" w:customStyle="1" w:styleId="THChar">
    <w:name w:val="TH Char"/>
    <w:link w:val="TH"/>
    <w:rsid w:val="007F66AB"/>
    <w:rPr>
      <w:rFonts w:asciiTheme="minorHAnsi" w:eastAsiaTheme="minorHAnsi" w:hAnsiTheme="minorHAnsi" w:cstheme="minorBidi"/>
      <w:b/>
      <w:sz w:val="22"/>
      <w:szCs w:val="22"/>
      <w:lang w:val="sv-SE"/>
    </w:rPr>
  </w:style>
  <w:style w:type="paragraph" w:customStyle="1" w:styleId="References">
    <w:name w:val="References"/>
    <w:basedOn w:val="Normal"/>
    <w:rsid w:val="00394E28"/>
    <w:pPr>
      <w:numPr>
        <w:ilvl w:val="2"/>
        <w:numId w:val="20"/>
      </w:numPr>
      <w:spacing w:after="0" w:line="240" w:lineRule="auto"/>
    </w:pPr>
    <w:rPr>
      <w:rFonts w:ascii="Times New Roman" w:eastAsia="Times New Roman" w:hAnsi="Times New Roman" w:cs="Times New Roman"/>
      <w:szCs w:val="24"/>
    </w:rPr>
  </w:style>
  <w:style w:type="paragraph" w:customStyle="1" w:styleId="Guidance">
    <w:name w:val="Guidance"/>
    <w:basedOn w:val="Normal"/>
    <w:rsid w:val="00F81067"/>
    <w:pPr>
      <w:spacing w:after="180" w:line="240" w:lineRule="auto"/>
    </w:pPr>
    <w:rPr>
      <w:rFonts w:ascii="Times New Roman" w:eastAsia="Malgun Gothic" w:hAnsi="Times New Roman" w:cs="Times New Roman"/>
      <w:i/>
      <w:color w:val="0000FF"/>
      <w:szCs w:val="20"/>
      <w:lang w:val="en-GB"/>
    </w:rPr>
  </w:style>
  <w:style w:type="character" w:customStyle="1" w:styleId="B1Char">
    <w:name w:val="B1 Char"/>
    <w:link w:val="B1"/>
    <w:locked/>
    <w:rsid w:val="001F3BBE"/>
    <w:rPr>
      <w:rFonts w:ascii="Arial" w:eastAsiaTheme="minorEastAsia" w:hAnsi="Arial" w:cstheme="minorBidi"/>
      <w:szCs w:val="22"/>
      <w:lang w:eastAsia="zh-CN"/>
    </w:rPr>
  </w:style>
  <w:style w:type="paragraph" w:styleId="Revision">
    <w:name w:val="Revision"/>
    <w:hidden/>
    <w:uiPriority w:val="99"/>
    <w:semiHidden/>
    <w:rsid w:val="00F81067"/>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63937653">
      <w:bodyDiv w:val="1"/>
      <w:marLeft w:val="0"/>
      <w:marRight w:val="0"/>
      <w:marTop w:val="0"/>
      <w:marBottom w:val="0"/>
      <w:divBdr>
        <w:top w:val="none" w:sz="0" w:space="0" w:color="auto"/>
        <w:left w:val="none" w:sz="0" w:space="0" w:color="auto"/>
        <w:bottom w:val="none" w:sz="0" w:space="0" w:color="auto"/>
        <w:right w:val="none" w:sz="0" w:space="0" w:color="auto"/>
      </w:divBdr>
    </w:div>
    <w:div w:id="193856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5NUHHDQN7SK2-1-181158</_dlc_DocId>
    <_dlc_DocIdUrl xmlns="08b2df90-05d3-4030-90d4-c9feeb4a1cd9">
      <Url>https://ericoll.internal.ericsson.com/sites/star/_layouts/DocIdRedir.aspx?ID=5NUHHDQN7SK2-1-181158</Url>
      <Description>5NUHHDQN7SK2-1-181158</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B096916A-76E8-4738-B19B-F7B968AF8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2004</TotalTime>
  <Pages>4</Pages>
  <Words>1505</Words>
  <Characters>7982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Author</cp:lastModifiedBy>
  <cp:revision>41</cp:revision>
  <cp:lastPrinted>2017-09-27T12:57:00Z</cp:lastPrinted>
  <dcterms:created xsi:type="dcterms:W3CDTF">2017-09-07T07:33:00Z</dcterms:created>
  <dcterms:modified xsi:type="dcterms:W3CDTF">2017-09-28T23:18:00Z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af87eacb-fd7b-440b-a369-7ed01f8bb241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